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13E21">
      <w:pPr>
        <w:spacing w:before="600" w:after="300"/>
      </w:pPr>
      <w:bookmarkStart w:id="18" w:name="_GoBack"/>
      <w:bookmarkEnd w:id="18"/>
      <w:r>
        <w:drawing>
          <wp:inline distT="0" distB="0" distL="0" distR="0">
            <wp:extent cx="1428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rcRect/>
                    <a:stretch>
                      <a:fillRect/>
                    </a:stretch>
                  </pic:blipFill>
                  <pic:spPr>
                    <a:xfrm>
                      <a:off x="0" y="0"/>
                      <a:ext cx="1428750" cy="1428750"/>
                    </a:xfrm>
                    <a:prstGeom prst="rect">
                      <a:avLst/>
                    </a:prstGeom>
                  </pic:spPr>
                </pic:pic>
              </a:graphicData>
            </a:graphic>
          </wp:inline>
        </w:drawing>
      </w:r>
    </w:p>
    <w:p w14:paraId="5E9290F7">
      <w:pPr>
        <w:spacing w:after="120"/>
      </w:pPr>
      <w:r>
        <w:rPr>
          <w:b/>
          <w:bCs/>
          <w:color w:val="16161D"/>
          <w:sz w:val="80"/>
          <w:szCs w:val="80"/>
        </w:rPr>
        <w:t>ATOMYX</w:t>
      </w:r>
    </w:p>
    <w:p w14:paraId="7BF48581">
      <w:pPr>
        <w:spacing w:after="240"/>
      </w:pPr>
      <w:r>
        <w:rPr>
          <w:color w:val="6D28D9"/>
          <w:sz w:val="34"/>
          <w:szCs w:val="34"/>
        </w:rPr>
        <w:t>From waste to value.</w:t>
      </w:r>
    </w:p>
    <w:p w14:paraId="4D7930F7">
      <w:pPr>
        <w:spacing w:after="160"/>
      </w:pPr>
      <w:r>
        <w:rPr>
          <w:color w:val="16161D"/>
          <w:sz w:val="22"/>
          <w:szCs w:val="22"/>
        </w:rPr>
        <w:t>A Proof-of-Recycling network for the United States and Europe, launched as a protected Uniswap v4 market on Programmable · Whitepaper v2.0 · October 2026</w:t>
      </w:r>
    </w:p>
    <w:p w14:paraId="68ED647A">
      <w:pPr>
        <w:spacing w:after="400"/>
      </w:pPr>
      <w:r>
        <w:rPr>
          <w:color w:val="5E6270"/>
          <w:sz w:val="20"/>
          <w:szCs w:val="20"/>
        </w:rPr>
        <w:t>Token: $ATMX    Chain: Ethereum    X: @ATOMYXAI    Telegram: t.me/ATOMYXAI</w:t>
      </w:r>
    </w:p>
    <w:p w14:paraId="7BC0AB20">
      <w:pPr>
        <w:pBdr>
          <w:left w:val="single" w:color="6D28D9" w:sz="18" w:space="8"/>
        </w:pBdr>
        <w:shd w:val="clear" w:color="auto" w:fill="F4F0FF"/>
        <w:spacing w:before="120" w:after="200" w:line="300" w:lineRule="auto"/>
        <w:ind w:left="200" w:right="200"/>
      </w:pPr>
      <w:r>
        <w:rPr>
          <w:b/>
          <w:bCs/>
          <w:color w:val="16161D"/>
        </w:rPr>
        <w:t>What changed since v1.0.</w:t>
      </w:r>
      <w:r>
        <w:rPr>
          <w:color w:val="16161D"/>
        </w:rPr>
        <w:t xml:space="preserve"> $ATMX no longer has team, partner, operations or community allocations, vesting or a trading tax inside the token. It launches through Programmable's Custom Launch on Ethereum, inside Programmable's mandatory launch-protection hook for Uniswap v4: </w:t>
      </w:r>
      <w:r>
        <w:rPr>
          <w:b/>
          <w:bCs/>
          <w:color w:val="16161D"/>
        </w:rPr>
        <w:t>100% of the supply goes into the pool and stays there</w:t>
      </w:r>
      <w:r>
        <w:rPr>
          <w:color w:val="16161D"/>
        </w:rPr>
        <w:t xml:space="preserve">, fees are fixed in the hook for ever, and every creator fee flows into one public contract, the </w:t>
      </w:r>
      <w:r>
        <w:rPr>
          <w:b/>
          <w:bCs/>
          <w:color w:val="16161D"/>
        </w:rPr>
        <w:t>Reclaim Vault</w:t>
      </w:r>
      <w:r>
        <w:rPr>
          <w:color w:val="16161D"/>
        </w:rPr>
        <w:t xml:space="preserve">. Half of it can only be paid out against waste batches recorded in the vault's on-chain </w:t>
      </w:r>
      <w:r>
        <w:rPr>
          <w:b/>
          <w:bCs/>
          <w:color w:val="16161D"/>
        </w:rPr>
        <w:t>Recycling Ledger</w:t>
      </w:r>
      <w:r>
        <w:rPr>
          <w:color w:val="16161D"/>
        </w:rPr>
        <w:t>.</w:t>
      </w:r>
    </w:p>
    <w:p w14:paraId="363D6852">
      <w:pPr>
        <w:spacing w:after="140" w:line="300" w:lineRule="auto"/>
      </w:pPr>
      <w:r>
        <w:rPr>
          <w:color w:val="5E6270"/>
          <w:sz w:val="18"/>
          <w:szCs w:val="18"/>
        </w:rPr>
        <w:t>This document describes the planned direction of ATOMYX. Capacity, collection points and timelines are targets, not results already achieved. It is not an offer of securities or investment advice.</w:t>
      </w:r>
    </w:p>
    <w:p w14:paraId="101C3C22">
      <w:r>
        <w:br w:type="page"/>
      </w:r>
    </w:p>
    <w:p w14:paraId="34D79FA3">
      <w:pPr>
        <w:spacing w:after="200"/>
      </w:pPr>
      <w:r>
        <w:rPr>
          <w:b/>
          <w:bCs/>
          <w:color w:val="16161D"/>
          <w:sz w:val="32"/>
          <w:szCs w:val="32"/>
        </w:rPr>
        <w:t>Contents</w:t>
      </w:r>
    </w:p>
    <w:sdt>
      <w:sdtPr>
        <w:alias w:val="Contents"/>
        <w:id w:val="147473164"/>
      </w:sdtPr>
      <w:sdtContent>
        <w:p w14:paraId="24202626">
          <w:pPr>
            <w:rPr>
              <w:rFonts w:ascii="Arial" w:hAnsi="Arial" w:eastAsia="Arial" w:cs="Arial"/>
              <w:color w:val="16161D"/>
              <w:sz w:val="20"/>
              <w:szCs w:val="20"/>
            </w:rPr>
          </w:pPr>
          <w:r>
            <w:fldChar w:fldCharType="begin"/>
          </w:r>
          <w:r>
            <w:instrText xml:space="preserve">TOC \h \o "1-2"</w:instrText>
          </w:r>
          <w:r>
            <w:fldChar w:fldCharType="separate"/>
          </w:r>
        </w:p>
        <w:p w14:paraId="30488D44">
          <w:pPr>
            <w:pStyle w:val="16"/>
            <w:tabs>
              <w:tab w:val="right" w:leader="dot" w:pos="9306"/>
            </w:tabs>
          </w:pPr>
          <w:r>
            <w:fldChar w:fldCharType="begin"/>
          </w:r>
          <w:r>
            <w:instrText xml:space="preserve"> HYPERLINK \l _Toc10483 </w:instrText>
          </w:r>
          <w:r>
            <w:fldChar w:fldCharType="separate"/>
          </w:r>
          <w:r>
            <w:t>1. Executive summary</w:t>
          </w:r>
          <w:r>
            <w:tab/>
          </w:r>
          <w:r>
            <w:fldChar w:fldCharType="begin"/>
          </w:r>
          <w:r>
            <w:instrText xml:space="preserve"> PAGEREF _Toc10483 \h </w:instrText>
          </w:r>
          <w:r>
            <w:fldChar w:fldCharType="separate"/>
          </w:r>
          <w:r>
            <w:t>3</w:t>
          </w:r>
          <w:r>
            <w:fldChar w:fldCharType="end"/>
          </w:r>
          <w:r>
            <w:fldChar w:fldCharType="end"/>
          </w:r>
        </w:p>
        <w:p w14:paraId="318BFB68">
          <w:pPr>
            <w:pStyle w:val="16"/>
            <w:tabs>
              <w:tab w:val="right" w:leader="dot" w:pos="9306"/>
            </w:tabs>
          </w:pPr>
          <w:r>
            <w:fldChar w:fldCharType="begin"/>
          </w:r>
          <w:r>
            <w:instrText xml:space="preserve"> HYPERLINK \l _Toc27145 </w:instrText>
          </w:r>
          <w:r>
            <w:fldChar w:fldCharType="separate"/>
          </w:r>
          <w:r>
            <w:t>2. The problem: waste grows faster than we can recycle it</w:t>
          </w:r>
          <w:r>
            <w:tab/>
          </w:r>
          <w:r>
            <w:fldChar w:fldCharType="begin"/>
          </w:r>
          <w:r>
            <w:instrText xml:space="preserve"> PAGEREF _Toc27145 \h </w:instrText>
          </w:r>
          <w:r>
            <w:fldChar w:fldCharType="separate"/>
          </w:r>
          <w:r>
            <w:t>3</w:t>
          </w:r>
          <w:r>
            <w:fldChar w:fldCharType="end"/>
          </w:r>
          <w:r>
            <w:fldChar w:fldCharType="end"/>
          </w:r>
        </w:p>
        <w:p w14:paraId="39A30BA0">
          <w:pPr>
            <w:pStyle w:val="16"/>
            <w:tabs>
              <w:tab w:val="right" w:leader="dot" w:pos="9306"/>
            </w:tabs>
          </w:pPr>
          <w:r>
            <w:fldChar w:fldCharType="begin"/>
          </w:r>
          <w:r>
            <w:instrText xml:space="preserve"> HYPERLINK \l _Toc5461 </w:instrText>
          </w:r>
          <w:r>
            <w:fldChar w:fldCharType="separate"/>
          </w:r>
          <w:r>
            <w:t>3. Technology and operations</w:t>
          </w:r>
          <w:r>
            <w:tab/>
          </w:r>
          <w:r>
            <w:fldChar w:fldCharType="begin"/>
          </w:r>
          <w:r>
            <w:instrText xml:space="preserve"> PAGEREF _Toc5461 \h </w:instrText>
          </w:r>
          <w:r>
            <w:fldChar w:fldCharType="separate"/>
          </w:r>
          <w:r>
            <w:t>3</w:t>
          </w:r>
          <w:r>
            <w:fldChar w:fldCharType="end"/>
          </w:r>
          <w:r>
            <w:fldChar w:fldCharType="end"/>
          </w:r>
        </w:p>
        <w:p w14:paraId="33AB2C98">
          <w:pPr>
            <w:pStyle w:val="16"/>
            <w:tabs>
              <w:tab w:val="right" w:leader="dot" w:pos="9306"/>
            </w:tabs>
          </w:pPr>
          <w:r>
            <w:fldChar w:fldCharType="begin"/>
          </w:r>
          <w:r>
            <w:instrText xml:space="preserve"> HYPERLINK \l _Toc26039 </w:instrText>
          </w:r>
          <w:r>
            <w:fldChar w:fldCharType="separate"/>
          </w:r>
          <w:r>
            <w:t>4. Proof-of-Recycling on-chain: the Recycling Ledger</w:t>
          </w:r>
          <w:r>
            <w:tab/>
          </w:r>
          <w:r>
            <w:fldChar w:fldCharType="begin"/>
          </w:r>
          <w:r>
            <w:instrText xml:space="preserve"> PAGEREF _Toc26039 \h </w:instrText>
          </w:r>
          <w:r>
            <w:fldChar w:fldCharType="separate"/>
          </w:r>
          <w:r>
            <w:t>4</w:t>
          </w:r>
          <w:r>
            <w:fldChar w:fldCharType="end"/>
          </w:r>
          <w:r>
            <w:fldChar w:fldCharType="end"/>
          </w:r>
        </w:p>
        <w:p w14:paraId="50F76B7E">
          <w:pPr>
            <w:pStyle w:val="16"/>
            <w:tabs>
              <w:tab w:val="right" w:leader="dot" w:pos="9306"/>
            </w:tabs>
          </w:pPr>
          <w:r>
            <w:fldChar w:fldCharType="begin"/>
          </w:r>
          <w:r>
            <w:instrText xml:space="preserve"> HYPERLINK \l _Toc25589 </w:instrText>
          </w:r>
          <w:r>
            <w:fldChar w:fldCharType="separate"/>
          </w:r>
          <w:r>
            <w:t>5. The $ATMX token</w:t>
          </w:r>
          <w:r>
            <w:tab/>
          </w:r>
          <w:r>
            <w:fldChar w:fldCharType="begin"/>
          </w:r>
          <w:r>
            <w:instrText xml:space="preserve"> PAGEREF _Toc25589 \h </w:instrText>
          </w:r>
          <w:r>
            <w:fldChar w:fldCharType="separate"/>
          </w:r>
          <w:r>
            <w:t>5</w:t>
          </w:r>
          <w:r>
            <w:fldChar w:fldCharType="end"/>
          </w:r>
          <w:r>
            <w:fldChar w:fldCharType="end"/>
          </w:r>
        </w:p>
        <w:p w14:paraId="596D93BC">
          <w:pPr>
            <w:pStyle w:val="17"/>
            <w:tabs>
              <w:tab w:val="right" w:leader="dot" w:pos="9306"/>
            </w:tabs>
          </w:pPr>
          <w:r>
            <w:fldChar w:fldCharType="begin"/>
          </w:r>
          <w:r>
            <w:instrText xml:space="preserve"> HYPERLINK \l _Toc10363 </w:instrText>
          </w:r>
          <w:r>
            <w:fldChar w:fldCharType="separate"/>
          </w:r>
          <w:r>
            <w:t>5.1 Supply and allocation</w:t>
          </w:r>
          <w:r>
            <w:tab/>
          </w:r>
          <w:r>
            <w:fldChar w:fldCharType="begin"/>
          </w:r>
          <w:r>
            <w:instrText xml:space="preserve"> PAGEREF _Toc10363 \h </w:instrText>
          </w:r>
          <w:r>
            <w:fldChar w:fldCharType="separate"/>
          </w:r>
          <w:r>
            <w:t>5</w:t>
          </w:r>
          <w:r>
            <w:fldChar w:fldCharType="end"/>
          </w:r>
          <w:r>
            <w:fldChar w:fldCharType="end"/>
          </w:r>
        </w:p>
        <w:p w14:paraId="6F29367F">
          <w:pPr>
            <w:pStyle w:val="16"/>
            <w:tabs>
              <w:tab w:val="right" w:leader="dot" w:pos="9306"/>
            </w:tabs>
          </w:pPr>
          <w:r>
            <w:fldChar w:fldCharType="begin"/>
          </w:r>
          <w:r>
            <w:instrText xml:space="preserve"> HYPERLINK \l _Toc13523 </w:instrText>
          </w:r>
          <w:r>
            <w:fldChar w:fldCharType="separate"/>
          </w:r>
          <w:r>
            <w:t>6. Launch on Programmable</w:t>
          </w:r>
          <w:r>
            <w:tab/>
          </w:r>
          <w:r>
            <w:fldChar w:fldCharType="begin"/>
          </w:r>
          <w:r>
            <w:instrText xml:space="preserve"> PAGEREF _Toc13523 \h </w:instrText>
          </w:r>
          <w:r>
            <w:fldChar w:fldCharType="separate"/>
          </w:r>
          <w:r>
            <w:t>5</w:t>
          </w:r>
          <w:r>
            <w:fldChar w:fldCharType="end"/>
          </w:r>
          <w:r>
            <w:fldChar w:fldCharType="end"/>
          </w:r>
        </w:p>
        <w:p w14:paraId="7A07E285">
          <w:pPr>
            <w:pStyle w:val="17"/>
            <w:tabs>
              <w:tab w:val="right" w:leader="dot" w:pos="9306"/>
            </w:tabs>
          </w:pPr>
          <w:r>
            <w:fldChar w:fldCharType="begin"/>
          </w:r>
          <w:r>
            <w:instrText xml:space="preserve"> HYPERLINK \l _Toc31488 </w:instrText>
          </w:r>
          <w:r>
            <w:fldChar w:fldCharType="separate"/>
          </w:r>
          <w:r>
            <w:t>6.1 Fees, fixed for ever</w:t>
          </w:r>
          <w:r>
            <w:tab/>
          </w:r>
          <w:r>
            <w:fldChar w:fldCharType="begin"/>
          </w:r>
          <w:r>
            <w:instrText xml:space="preserve"> PAGEREF _Toc31488 \h </w:instrText>
          </w:r>
          <w:r>
            <w:fldChar w:fldCharType="separate"/>
          </w:r>
          <w:r>
            <w:t>6</w:t>
          </w:r>
          <w:r>
            <w:fldChar w:fldCharType="end"/>
          </w:r>
          <w:r>
            <w:fldChar w:fldCharType="end"/>
          </w:r>
        </w:p>
        <w:p w14:paraId="194A67E1">
          <w:pPr>
            <w:pStyle w:val="17"/>
            <w:tabs>
              <w:tab w:val="right" w:leader="dot" w:pos="9306"/>
            </w:tabs>
          </w:pPr>
          <w:r>
            <w:fldChar w:fldCharType="begin"/>
          </w:r>
          <w:r>
            <w:instrText xml:space="preserve"> HYPERLINK \l _Toc15372 </w:instrText>
          </w:r>
          <w:r>
            <w:fldChar w:fldCharType="separate"/>
          </w:r>
          <w:r>
            <w:t>6.2 Born protected</w:t>
          </w:r>
          <w:r>
            <w:tab/>
          </w:r>
          <w:r>
            <w:fldChar w:fldCharType="begin"/>
          </w:r>
          <w:r>
            <w:instrText xml:space="preserve"> PAGEREF _Toc15372 \h </w:instrText>
          </w:r>
          <w:r>
            <w:fldChar w:fldCharType="separate"/>
          </w:r>
          <w:r>
            <w:t>6</w:t>
          </w:r>
          <w:r>
            <w:fldChar w:fldCharType="end"/>
          </w:r>
          <w:r>
            <w:fldChar w:fldCharType="end"/>
          </w:r>
        </w:p>
        <w:p w14:paraId="4501EDD9">
          <w:pPr>
            <w:pStyle w:val="16"/>
            <w:tabs>
              <w:tab w:val="right" w:leader="dot" w:pos="9306"/>
            </w:tabs>
          </w:pPr>
          <w:r>
            <w:fldChar w:fldCharType="begin"/>
          </w:r>
          <w:r>
            <w:instrText xml:space="preserve"> HYPERLINK \l _Toc32408 </w:instrText>
          </w:r>
          <w:r>
            <w:fldChar w:fldCharType="separate"/>
          </w:r>
          <w:r>
            <w:t>7. The Reclaim Vault</w:t>
          </w:r>
          <w:r>
            <w:tab/>
          </w:r>
          <w:r>
            <w:fldChar w:fldCharType="begin"/>
          </w:r>
          <w:r>
            <w:instrText xml:space="preserve"> PAGEREF _Toc32408 \h </w:instrText>
          </w:r>
          <w:r>
            <w:fldChar w:fldCharType="separate"/>
          </w:r>
          <w:r>
            <w:t>6</w:t>
          </w:r>
          <w:r>
            <w:fldChar w:fldCharType="end"/>
          </w:r>
          <w:r>
            <w:fldChar w:fldCharType="end"/>
          </w:r>
        </w:p>
        <w:p w14:paraId="0787BA00">
          <w:pPr>
            <w:pStyle w:val="17"/>
            <w:tabs>
              <w:tab w:val="right" w:leader="dot" w:pos="9306"/>
            </w:tabs>
          </w:pPr>
          <w:r>
            <w:fldChar w:fldCharType="begin"/>
          </w:r>
          <w:r>
            <w:instrText xml:space="preserve"> HYPERLINK \l _Toc9365 </w:instrText>
          </w:r>
          <w:r>
            <w:fldChar w:fldCharType="separate"/>
          </w:r>
          <w:r>
            <w:t>7.1 Powers and limits</w:t>
          </w:r>
          <w:r>
            <w:tab/>
          </w:r>
          <w:r>
            <w:fldChar w:fldCharType="begin"/>
          </w:r>
          <w:r>
            <w:instrText xml:space="preserve"> PAGEREF _Toc9365 \h </w:instrText>
          </w:r>
          <w:r>
            <w:fldChar w:fldCharType="separate"/>
          </w:r>
          <w:r>
            <w:t>6</w:t>
          </w:r>
          <w:r>
            <w:fldChar w:fldCharType="end"/>
          </w:r>
          <w:r>
            <w:fldChar w:fldCharType="end"/>
          </w:r>
        </w:p>
        <w:p w14:paraId="405A1543">
          <w:pPr>
            <w:pStyle w:val="16"/>
            <w:tabs>
              <w:tab w:val="right" w:leader="dot" w:pos="9306"/>
            </w:tabs>
          </w:pPr>
          <w:r>
            <w:fldChar w:fldCharType="begin"/>
          </w:r>
          <w:r>
            <w:instrText xml:space="preserve"> HYPERLINK \l _Toc11696 </w:instrText>
          </w:r>
          <w:r>
            <w:fldChar w:fldCharType="separate"/>
          </w:r>
          <w:r>
            <w:t>8. Ecosystem and participants</w:t>
          </w:r>
          <w:r>
            <w:tab/>
          </w:r>
          <w:r>
            <w:fldChar w:fldCharType="begin"/>
          </w:r>
          <w:r>
            <w:instrText xml:space="preserve"> PAGEREF _Toc11696 \h </w:instrText>
          </w:r>
          <w:r>
            <w:fldChar w:fldCharType="separate"/>
          </w:r>
          <w:r>
            <w:t>7</w:t>
          </w:r>
          <w:r>
            <w:fldChar w:fldCharType="end"/>
          </w:r>
          <w:r>
            <w:fldChar w:fldCharType="end"/>
          </w:r>
        </w:p>
        <w:p w14:paraId="0BB6C083">
          <w:pPr>
            <w:pStyle w:val="16"/>
            <w:tabs>
              <w:tab w:val="right" w:leader="dot" w:pos="9306"/>
            </w:tabs>
          </w:pPr>
          <w:r>
            <w:fldChar w:fldCharType="begin"/>
          </w:r>
          <w:r>
            <w:instrText xml:space="preserve"> HYPERLINK \l _Toc5472 </w:instrText>
          </w:r>
          <w:r>
            <w:fldChar w:fldCharType="separate"/>
          </w:r>
          <w:r>
            <w:t>9. Roadmap</w:t>
          </w:r>
          <w:r>
            <w:tab/>
          </w:r>
          <w:r>
            <w:fldChar w:fldCharType="begin"/>
          </w:r>
          <w:r>
            <w:instrText xml:space="preserve"> PAGEREF _Toc5472 \h </w:instrText>
          </w:r>
          <w:r>
            <w:fldChar w:fldCharType="separate"/>
          </w:r>
          <w:r>
            <w:t>7</w:t>
          </w:r>
          <w:r>
            <w:fldChar w:fldCharType="end"/>
          </w:r>
          <w:r>
            <w:fldChar w:fldCharType="end"/>
          </w:r>
        </w:p>
        <w:p w14:paraId="49D6DA14">
          <w:pPr>
            <w:pStyle w:val="16"/>
            <w:tabs>
              <w:tab w:val="right" w:leader="dot" w:pos="9306"/>
            </w:tabs>
          </w:pPr>
          <w:r>
            <w:fldChar w:fldCharType="begin"/>
          </w:r>
          <w:r>
            <w:instrText xml:space="preserve"> HYPERLINK \l _Toc14521 </w:instrText>
          </w:r>
          <w:r>
            <w:fldChar w:fldCharType="separate"/>
          </w:r>
          <w:r>
            <w:t>10. Brand identity and community</w:t>
          </w:r>
          <w:r>
            <w:tab/>
          </w:r>
          <w:r>
            <w:fldChar w:fldCharType="begin"/>
          </w:r>
          <w:r>
            <w:instrText xml:space="preserve"> PAGEREF _Toc14521 \h </w:instrText>
          </w:r>
          <w:r>
            <w:fldChar w:fldCharType="separate"/>
          </w:r>
          <w:r>
            <w:t>7</w:t>
          </w:r>
          <w:r>
            <w:fldChar w:fldCharType="end"/>
          </w:r>
          <w:r>
            <w:fldChar w:fldCharType="end"/>
          </w:r>
        </w:p>
        <w:p w14:paraId="640AD6F6">
          <w:pPr>
            <w:pStyle w:val="16"/>
            <w:tabs>
              <w:tab w:val="right" w:leader="dot" w:pos="9306"/>
            </w:tabs>
          </w:pPr>
          <w:r>
            <w:fldChar w:fldCharType="begin"/>
          </w:r>
          <w:r>
            <w:instrText xml:space="preserve"> HYPERLINK \l _Toc21794 </w:instrText>
          </w:r>
          <w:r>
            <w:fldChar w:fldCharType="separate"/>
          </w:r>
          <w:r>
            <w:t>11. Security model and honest limits</w:t>
          </w:r>
          <w:r>
            <w:tab/>
          </w:r>
          <w:r>
            <w:fldChar w:fldCharType="begin"/>
          </w:r>
          <w:r>
            <w:instrText xml:space="preserve"> PAGEREF _Toc21794 \h </w:instrText>
          </w:r>
          <w:r>
            <w:fldChar w:fldCharType="separate"/>
          </w:r>
          <w:r>
            <w:t>8</w:t>
          </w:r>
          <w:r>
            <w:fldChar w:fldCharType="end"/>
          </w:r>
          <w:r>
            <w:fldChar w:fldCharType="end"/>
          </w:r>
        </w:p>
        <w:p w14:paraId="52318D39">
          <w:pPr>
            <w:pStyle w:val="16"/>
            <w:tabs>
              <w:tab w:val="right" w:leader="dot" w:pos="9306"/>
            </w:tabs>
          </w:pPr>
          <w:r>
            <w:fldChar w:fldCharType="begin"/>
          </w:r>
          <w:r>
            <w:instrText xml:space="preserve"> HYPERLINK \l _Toc27518 </w:instrText>
          </w:r>
          <w:r>
            <w:fldChar w:fldCharType="separate"/>
          </w:r>
          <w:r>
            <w:t>12. Risks and legal notice</w:t>
          </w:r>
          <w:r>
            <w:tab/>
          </w:r>
          <w:r>
            <w:fldChar w:fldCharType="begin"/>
          </w:r>
          <w:r>
            <w:instrText xml:space="preserve"> PAGEREF _Toc27518 \h </w:instrText>
          </w:r>
          <w:r>
            <w:fldChar w:fldCharType="separate"/>
          </w:r>
          <w:r>
            <w:t>8</w:t>
          </w:r>
          <w:r>
            <w:fldChar w:fldCharType="end"/>
          </w:r>
          <w:r>
            <w:fldChar w:fldCharType="end"/>
          </w:r>
        </w:p>
        <w:p w14:paraId="6939B795">
          <w:pPr>
            <w:pStyle w:val="17"/>
            <w:tabs>
              <w:tab w:val="right" w:leader="dot" w:pos="9306"/>
            </w:tabs>
          </w:pPr>
          <w:r>
            <w:fldChar w:fldCharType="begin"/>
          </w:r>
          <w:r>
            <w:instrText xml:space="preserve"> HYPERLINK \l _Toc10453 </w:instrText>
          </w:r>
          <w:r>
            <w:fldChar w:fldCharType="separate"/>
          </w:r>
          <w:r>
            <w:t>Sources</w:t>
          </w:r>
          <w:r>
            <w:tab/>
          </w:r>
          <w:r>
            <w:fldChar w:fldCharType="begin"/>
          </w:r>
          <w:r>
            <w:instrText xml:space="preserve"> PAGEREF _Toc10453 \h </w:instrText>
          </w:r>
          <w:r>
            <w:fldChar w:fldCharType="separate"/>
          </w:r>
          <w:r>
            <w:t>8</w:t>
          </w:r>
          <w:r>
            <w:fldChar w:fldCharType="end"/>
          </w:r>
          <w:r>
            <w:fldChar w:fldCharType="end"/>
          </w:r>
        </w:p>
        <w:p w14:paraId="7BE80A3F">
          <w:pPr>
            <w:pStyle w:val="16"/>
            <w:tabs>
              <w:tab w:val="right" w:leader="dot" w:pos="9306"/>
            </w:tabs>
          </w:pPr>
          <w:r>
            <w:fldChar w:fldCharType="begin"/>
          </w:r>
          <w:r>
            <w:instrText xml:space="preserve"> HYPERLINK \l _Toc26112 </w:instrText>
          </w:r>
          <w:r>
            <w:fldChar w:fldCharType="separate"/>
          </w:r>
          <w:r>
            <w:t>Appendix A. Launch parameters</w:t>
          </w:r>
          <w:r>
            <w:tab/>
          </w:r>
          <w:r>
            <w:fldChar w:fldCharType="begin"/>
          </w:r>
          <w:r>
            <w:instrText xml:space="preserve"> PAGEREF _Toc26112 \h </w:instrText>
          </w:r>
          <w:r>
            <w:fldChar w:fldCharType="separate"/>
          </w:r>
          <w:r>
            <w:t>9</w:t>
          </w:r>
          <w:r>
            <w:fldChar w:fldCharType="end"/>
          </w:r>
          <w:r>
            <w:fldChar w:fldCharType="end"/>
          </w:r>
        </w:p>
        <w:p w14:paraId="0A10E104">
          <w:pPr>
            <w:tabs>
              <w:tab w:val="right" w:leader="dot" w:pos="9306"/>
            </w:tabs>
          </w:pPr>
          <w:r>
            <w:fldChar w:fldCharType="end"/>
          </w:r>
        </w:p>
      </w:sdtContent>
    </w:sdt>
    <w:p w14:paraId="64A12FE5">
      <w:r>
        <w:br w:type="page"/>
      </w:r>
    </w:p>
    <w:p w14:paraId="78198997">
      <w:pPr>
        <w:pStyle w:val="2"/>
      </w:pPr>
      <w:bookmarkStart w:id="0" w:name="_Toc10483"/>
      <w:r>
        <w:t>1. Executive summary</w:t>
      </w:r>
      <w:bookmarkEnd w:id="0"/>
    </w:p>
    <w:p w14:paraId="2F76221E">
      <w:pPr>
        <w:spacing w:after="140" w:line="300" w:lineRule="auto"/>
      </w:pPr>
      <w:r>
        <w:t>ATOMYX is a waste collection and recycling network for the United States and Europe. It uses AI to sort waste and an on-chain ledger to record every batch that is verified as recycled. ATOMYX does not invent new recycling technology. It connects proven commercial tools: IoT scales at drop-off points, AI cameras and robot pickers in sorting stations, and mechanical and chemical recycling at partner plants, all tied together by one data trail.</w:t>
      </w:r>
    </w:p>
    <w:p w14:paraId="4D7DB48B">
      <w:pPr>
        <w:spacing w:after="140" w:line="300" w:lineRule="auto"/>
      </w:pPr>
      <w:r>
        <w:t xml:space="preserve">$ATMX is the network's token. It launches as a fair, protected market on Programmable: the whole supply sits in a locked Uniswap v4 pool, and the only income it creates is a fixed 2.5% creator fee, in ETH, on every trade. That fee flows into the </w:t>
      </w:r>
      <w:r>
        <w:rPr>
          <w:b/>
          <w:bCs/>
        </w:rPr>
        <w:t>Reclaim Vault</w:t>
      </w:r>
      <w:r>
        <w:t xml:space="preserve">, which pays it out in fixed shares: </w:t>
      </w:r>
      <w:r>
        <w:rPr>
          <w:b/>
          <w:bCs/>
        </w:rPr>
        <w:t>80% to the project treasury</w:t>
      </w:r>
      <w:r>
        <w:t xml:space="preserve"> (team, development, operations and marketing) and </w:t>
      </w:r>
      <w:r>
        <w:rPr>
          <w:b/>
          <w:bCs/>
        </w:rPr>
        <w:t>20% recycling rewards</w:t>
      </w:r>
      <w:r>
        <w:t xml:space="preserve"> (only against batches recorded in the Recycling Ledger, after a public review period and within a cap per kilogram).</w:t>
      </w:r>
    </w:p>
    <w:p w14:paraId="11659538">
      <w:pPr>
        <w:spacing w:after="140" w:line="300" w:lineRule="auto"/>
      </w:pPr>
      <w:r>
        <w:rPr>
          <w:b/>
          <w:bCs/>
        </w:rPr>
        <w:t>Slogan:</w:t>
      </w:r>
      <w:r>
        <w:t xml:space="preserve"> From waste to value.</w:t>
      </w:r>
    </w:p>
    <w:p w14:paraId="16858222">
      <w:pPr>
        <w:pStyle w:val="2"/>
      </w:pPr>
      <w:bookmarkStart w:id="1" w:name="_Toc27145"/>
      <w:r>
        <w:t>2. The problem: waste grows faster than we can recycle it</w:t>
      </w:r>
      <w:bookmarkEnd w:id="1"/>
    </w:p>
    <w:p w14:paraId="649F0158">
      <w:pPr>
        <w:spacing w:after="140" w:line="300" w:lineRule="auto"/>
      </w:pPr>
      <w:r>
        <w:t>The United States produced about 292.4 million tons of municipal solid waste in 2018 and recycled only about 9% of its plastics (US EPA). The European Union recycled 41% of its plastic packaging waste in 2022, which means most of it was still burned, landfilled or exported; each EU resident generated 36.1 kg of plastic packaging waste that year (Eurostat).</w:t>
      </w:r>
    </w:p>
    <w:p w14:paraId="22281AD5">
      <w:pPr>
        <w:pStyle w:val="18"/>
        <w:numPr>
          <w:ilvl w:val="0"/>
          <w:numId w:val="1"/>
        </w:numPr>
        <w:spacing w:after="80" w:line="290" w:lineRule="auto"/>
      </w:pPr>
      <w:r>
        <w:rPr>
          <w:b/>
          <w:bCs/>
        </w:rPr>
        <w:t>Poor sorting at the source:</w:t>
      </w:r>
      <w:r>
        <w:t xml:space="preserve"> mixed waste loses its value and makes manual sorting expensive.</w:t>
      </w:r>
    </w:p>
    <w:p w14:paraId="70444DD5">
      <w:pPr>
        <w:pStyle w:val="18"/>
        <w:numPr>
          <w:ilvl w:val="0"/>
          <w:numId w:val="1"/>
        </w:numPr>
        <w:spacing w:after="80" w:line="290" w:lineRule="auto"/>
      </w:pPr>
      <w:r>
        <w:rPr>
          <w:b/>
          <w:bCs/>
        </w:rPr>
        <w:t>Collectors go unrewarded:</w:t>
      </w:r>
      <w:r>
        <w:t xml:space="preserve"> independent collectors, small haulers and scrap yards do much of the work, earn little and leave no data.</w:t>
      </w:r>
    </w:p>
    <w:p w14:paraId="107FB858">
      <w:pPr>
        <w:pStyle w:val="18"/>
        <w:numPr>
          <w:ilvl w:val="0"/>
          <w:numId w:val="1"/>
        </w:numPr>
        <w:spacing w:after="80" w:line="290" w:lineRule="auto"/>
      </w:pPr>
      <w:r>
        <w:rPr>
          <w:b/>
          <w:bCs/>
        </w:rPr>
        <w:t>No transparency:</w:t>
      </w:r>
      <w:r>
        <w:t xml:space="preserve"> brands and municipalities cannot prove how much plastic was really collected and recycled.</w:t>
      </w:r>
    </w:p>
    <w:p w14:paraId="459C31A1">
      <w:pPr>
        <w:pStyle w:val="18"/>
        <w:numPr>
          <w:ilvl w:val="0"/>
          <w:numId w:val="1"/>
        </w:numPr>
        <w:spacing w:after="80" w:line="290" w:lineRule="auto"/>
      </w:pPr>
      <w:r>
        <w:rPr>
          <w:b/>
          <w:bCs/>
        </w:rPr>
        <w:t>Doubtful credits:</w:t>
      </w:r>
      <w:r>
        <w:t xml:space="preserve"> paper-based inputs are hard to verify independently, just as EU and US rules start asking for proof.</w:t>
      </w:r>
    </w:p>
    <w:p w14:paraId="038848DB">
      <w:pPr>
        <w:spacing w:after="140" w:line="300" w:lineRule="auto"/>
      </w:pPr>
      <w:r>
        <w:t>ATOMYX focuses on three things: getting more waste sorted correctly, paying the people who collect it, and producing data that can be checked for every batch.</w:t>
      </w:r>
    </w:p>
    <w:p w14:paraId="56232042">
      <w:pPr>
        <w:pStyle w:val="2"/>
      </w:pPr>
      <w:bookmarkStart w:id="2" w:name="_Toc5461"/>
      <w:r>
        <w:t>3. Technology and operations</w:t>
      </w:r>
      <w:bookmarkEnd w:id="2"/>
    </w:p>
    <w:p w14:paraId="28A029F6">
      <w:pPr>
        <w:spacing w:after="140" w:line="300" w:lineRule="auto"/>
      </w:pPr>
      <w:r>
        <w:t xml:space="preserve">ATOMYX links technology that is already in commercial use into one closed loop, and every step produces data that can be checked. </w:t>
      </w:r>
      <w:r>
        <w:rPr>
          <w:b/>
          <w:bCs/>
        </w:rPr>
        <w:t>These operations are planned and not yet running;</w:t>
      </w:r>
      <w:r>
        <w:t xml:space="preserve"> nothing in the launch contracts depends on them.</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4"/>
        <w:gridCol w:w="3324"/>
        <w:gridCol w:w="3988"/>
      </w:tblGrid>
      <w:tr w14:paraId="0E27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994"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4E2FE94B">
            <w:pPr>
              <w:spacing w:after="0" w:line="270" w:lineRule="auto"/>
            </w:pPr>
            <w:r>
              <w:rPr>
                <w:b/>
                <w:bCs/>
                <w:color w:val="FFFFFF"/>
                <w:sz w:val="18"/>
                <w:szCs w:val="18"/>
              </w:rPr>
              <w:t>Component</w:t>
            </w:r>
          </w:p>
        </w:tc>
        <w:tc>
          <w:tcPr>
            <w:tcW w:w="3324"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1007D627">
            <w:pPr>
              <w:spacing w:after="0" w:line="270" w:lineRule="auto"/>
            </w:pPr>
            <w:r>
              <w:rPr>
                <w:b/>
                <w:bCs/>
                <w:color w:val="FFFFFF"/>
                <w:sz w:val="18"/>
                <w:szCs w:val="18"/>
              </w:rPr>
              <w:t>Technology</w:t>
            </w:r>
          </w:p>
        </w:tc>
        <w:tc>
          <w:tcPr>
            <w:tcW w:w="3988"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111961E2">
            <w:pPr>
              <w:spacing w:after="0" w:line="270" w:lineRule="auto"/>
            </w:pPr>
            <w:r>
              <w:rPr>
                <w:b/>
                <w:bCs/>
                <w:color w:val="FFFFFF"/>
                <w:sz w:val="18"/>
                <w:szCs w:val="18"/>
              </w:rPr>
              <w:t>Role</w:t>
            </w:r>
          </w:p>
        </w:tc>
      </w:tr>
      <w:tr w14:paraId="475C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E9BDDCF">
            <w:pPr>
              <w:spacing w:after="0" w:line="270" w:lineRule="auto"/>
            </w:pPr>
            <w:r>
              <w:rPr>
                <w:sz w:val="18"/>
                <w:szCs w:val="18"/>
              </w:rPr>
              <w:t>ATOMYX Point</w:t>
            </w:r>
          </w:p>
        </w:tc>
        <w:tc>
          <w:tcPr>
            <w:tcW w:w="332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E2FEA8E">
            <w:pPr>
              <w:spacing w:after="0" w:line="270" w:lineRule="auto"/>
            </w:pPr>
            <w:r>
              <w:rPr>
                <w:sz w:val="18"/>
                <w:szCs w:val="18"/>
              </w:rPr>
              <w:t>Drop-off point with IoT scales, cameras and QR check-in</w:t>
            </w:r>
          </w:p>
        </w:tc>
        <w:tc>
          <w:tcPr>
            <w:tcW w:w="398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6C401F8">
            <w:pPr>
              <w:spacing w:after="0" w:line="270" w:lineRule="auto"/>
            </w:pPr>
            <w:r>
              <w:rPr>
                <w:sz w:val="18"/>
                <w:szCs w:val="18"/>
              </w:rPr>
              <w:t>Residents and collectors drop off sorted waste; the weight is recorded, photographed and logged</w:t>
            </w:r>
          </w:p>
        </w:tc>
      </w:tr>
      <w:tr w14:paraId="2D9D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B5BF02B">
            <w:pPr>
              <w:spacing w:after="0" w:line="270" w:lineRule="auto"/>
            </w:pPr>
            <w:r>
              <w:rPr>
                <w:sz w:val="18"/>
                <w:szCs w:val="18"/>
              </w:rPr>
              <w:t>ATOMYX Collect</w:t>
            </w:r>
          </w:p>
        </w:tc>
        <w:tc>
          <w:tcPr>
            <w:tcW w:w="332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F3CC640">
            <w:pPr>
              <w:spacing w:after="0" w:line="270" w:lineRule="auto"/>
            </w:pPr>
            <w:r>
              <w:rPr>
                <w:sz w:val="18"/>
                <w:szCs w:val="18"/>
              </w:rPr>
              <w:t>Mobile app for collectors with GPS tracking</w:t>
            </w:r>
          </w:p>
        </w:tc>
        <w:tc>
          <w:tcPr>
            <w:tcW w:w="3988"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D3DE75B">
            <w:pPr>
              <w:spacing w:after="0" w:line="270" w:lineRule="auto"/>
            </w:pPr>
            <w:r>
              <w:rPr>
                <w:sz w:val="18"/>
                <w:szCs w:val="18"/>
              </w:rPr>
              <w:t>Logs each collection trip, its weight and the waste's origin</w:t>
            </w:r>
          </w:p>
        </w:tc>
      </w:tr>
      <w:tr w14:paraId="679F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C31DB94">
            <w:pPr>
              <w:spacing w:after="0" w:line="270" w:lineRule="auto"/>
            </w:pPr>
            <w:r>
              <w:rPr>
                <w:sz w:val="18"/>
                <w:szCs w:val="18"/>
              </w:rPr>
              <w:t>ATOMYX Sort</w:t>
            </w:r>
          </w:p>
        </w:tc>
        <w:tc>
          <w:tcPr>
            <w:tcW w:w="332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479C799">
            <w:pPr>
              <w:spacing w:after="0" w:line="270" w:lineRule="auto"/>
            </w:pPr>
            <w:r>
              <w:rPr>
                <w:sz w:val="18"/>
                <w:szCs w:val="18"/>
              </w:rPr>
              <w:t>Sorting station with AI cameras, near-infrared (NIR) sensors and robot pickers</w:t>
            </w:r>
          </w:p>
        </w:tc>
        <w:tc>
          <w:tcPr>
            <w:tcW w:w="398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2B55DE9">
            <w:pPr>
              <w:spacing w:after="0" w:line="270" w:lineRule="auto"/>
            </w:pPr>
            <w:r>
              <w:rPr>
                <w:sz w:val="18"/>
                <w:szCs w:val="18"/>
              </w:rPr>
              <w:t>Sorts by plastic type (PET, HDPE, PP…), metal and paper</w:t>
            </w:r>
          </w:p>
        </w:tc>
      </w:tr>
      <w:tr w14:paraId="6CBB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A8916B5">
            <w:pPr>
              <w:spacing w:after="0" w:line="270" w:lineRule="auto"/>
            </w:pPr>
            <w:r>
              <w:rPr>
                <w:sz w:val="18"/>
                <w:szCs w:val="18"/>
              </w:rPr>
              <w:t>ATOMYX Process</w:t>
            </w:r>
          </w:p>
        </w:tc>
        <w:tc>
          <w:tcPr>
            <w:tcW w:w="332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3E749BC">
            <w:pPr>
              <w:spacing w:after="0" w:line="270" w:lineRule="auto"/>
            </w:pPr>
            <w:r>
              <w:rPr>
                <w:sz w:val="18"/>
                <w:szCs w:val="18"/>
              </w:rPr>
              <w:t>Partner recycling plants: mechanical recycling, plastic pyrolysis, e-waste metal recovery</w:t>
            </w:r>
          </w:p>
        </w:tc>
        <w:tc>
          <w:tcPr>
            <w:tcW w:w="3988"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491DCE38">
            <w:pPr>
              <w:spacing w:after="0" w:line="270" w:lineRule="auto"/>
            </w:pPr>
            <w:r>
              <w:rPr>
                <w:sz w:val="18"/>
                <w:szCs w:val="18"/>
              </w:rPr>
              <w:t>Turns sorted waste into recycled resin, fuel and recovered metals</w:t>
            </w:r>
          </w:p>
        </w:tc>
      </w:tr>
      <w:tr w14:paraId="697A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72CAC67">
            <w:pPr>
              <w:spacing w:after="0" w:line="270" w:lineRule="auto"/>
            </w:pPr>
            <w:r>
              <w:rPr>
                <w:sz w:val="18"/>
                <w:szCs w:val="18"/>
              </w:rPr>
              <w:t>Recycling Ledger</w:t>
            </w:r>
          </w:p>
        </w:tc>
        <w:tc>
          <w:tcPr>
            <w:tcW w:w="332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9527FEF">
            <w:pPr>
              <w:spacing w:after="0" w:line="270" w:lineRule="auto"/>
            </w:pPr>
            <w:r>
              <w:rPr>
                <w:sz w:val="18"/>
                <w:szCs w:val="18"/>
              </w:rPr>
              <w:t>Part of the Reclaim Vault contract, on Ethereum</w:t>
            </w:r>
          </w:p>
        </w:tc>
        <w:tc>
          <w:tcPr>
            <w:tcW w:w="398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27EAF6E">
            <w:pPr>
              <w:spacing w:after="0" w:line="270" w:lineRule="auto"/>
            </w:pPr>
            <w:r>
              <w:rPr>
                <w:sz w:val="18"/>
                <w:szCs w:val="18"/>
              </w:rPr>
              <w:t>Records each batch: material, weight in grams and the hash of its evidence; gates recycling rewards</w:t>
            </w:r>
          </w:p>
        </w:tc>
      </w:tr>
    </w:tbl>
    <w:p w14:paraId="1F8F945D">
      <w:pPr>
        <w:spacing w:after="120"/>
      </w:pPr>
    </w:p>
    <w:p w14:paraId="61BF60BF">
      <w:pPr>
        <w:spacing w:after="140" w:line="300" w:lineRule="auto"/>
      </w:pPr>
      <w:r>
        <w:rPr>
          <w:b/>
          <w:bCs/>
        </w:rPr>
        <w:t>Flow:</w:t>
      </w:r>
      <w:r>
        <w:t xml:space="preserve"> collect → weigh and photograph at the Point → move to the sorting station → AI sort and reweigh → partner recycler confirms receipt → the attester records the batch in the Recycling Ledger.</w:t>
      </w:r>
    </w:p>
    <w:p w14:paraId="180730CF">
      <w:pPr>
        <w:spacing w:after="140" w:line="300" w:lineRule="auto"/>
      </w:pPr>
      <w:r>
        <w:rPr>
          <w:b/>
          <w:bCs/>
        </w:rPr>
        <w:t>Measurement, reporting and verification (MRV):</w:t>
      </w:r>
      <w:r>
        <w:t xml:space="preserve"> each batch gets a unique ID. Its weight is matched at three points: the drop-off Point, the sorting station and the recycler's receipt. If the figures differ by more than 5%, the batch is held for review and is not recorded, or is voided if it already was. The evidence file for each batch is published, and its hash is the </w:t>
      </w:r>
      <w:r>
        <w:rPr>
          <w:rFonts w:ascii="Consolas" w:hAnsi="Consolas" w:eastAsia="Consolas" w:cs="Consolas"/>
          <w:color w:val="6D28D9"/>
        </w:rPr>
        <w:t>evidenceHash</w:t>
      </w:r>
      <w:r>
        <w:t xml:space="preserve"> stored on-chain. ATOMYX aims to meet the Verra Plastic Program standard so it can later issue collection and recycling credits.</w:t>
      </w:r>
    </w:p>
    <w:p w14:paraId="02B141B1">
      <w:pPr>
        <w:pStyle w:val="2"/>
      </w:pPr>
      <w:bookmarkStart w:id="3" w:name="_Toc26039"/>
      <w:r>
        <w:t>4. Proof-of-Recycling on-chain: the Recycling Ledger</w:t>
      </w:r>
      <w:bookmarkEnd w:id="3"/>
    </w:p>
    <w:p w14:paraId="15B2EEDB">
      <w:pPr>
        <w:spacing w:after="140" w:line="300" w:lineRule="auto"/>
      </w:pPr>
      <w:r>
        <w:t xml:space="preserve">Version 1.0 promised to pay token rewards from a pre-allocated pool. A fair launch has no such pool, so v2.0 pays recycling rewards </w:t>
      </w:r>
      <w:r>
        <w:rPr>
          <w:b/>
          <w:bCs/>
        </w:rPr>
        <w:t>in ETH</w:t>
      </w:r>
      <w:r>
        <w:t>, from the Reclaim Vault's Recycling Rewards pool, which is filled by trading fees. The Recycling Ledger decides when that money may move:</w:t>
      </w:r>
    </w:p>
    <w:p w14:paraId="501CB896">
      <w:pPr>
        <w:pStyle w:val="18"/>
        <w:numPr>
          <w:ilvl w:val="0"/>
          <w:numId w:val="2"/>
        </w:numPr>
        <w:spacing w:after="80" w:line="290" w:lineRule="auto"/>
      </w:pPr>
      <w:r>
        <w:rPr>
          <w:b/>
          <w:bCs/>
        </w:rPr>
        <w:t>Record.</w:t>
      </w:r>
      <w:r>
        <w:t xml:space="preserve"> The attester records a verified batch: </w:t>
      </w:r>
      <w:r>
        <w:rPr>
          <w:rFonts w:ascii="Consolas" w:hAnsi="Consolas" w:eastAsia="Consolas" w:cs="Consolas"/>
          <w:color w:val="6D28D9"/>
        </w:rPr>
        <w:t>recordBatch(batchId, material, grams, evidenceHash)</w:t>
      </w:r>
      <w:r>
        <w:t>. Materials are PET, HDPE, PP, other plastic, metal, paper, glass and e-waste. A batch id can be used only once.</w:t>
      </w:r>
    </w:p>
    <w:p w14:paraId="0CB0CAD6">
      <w:pPr>
        <w:pStyle w:val="18"/>
        <w:numPr>
          <w:ilvl w:val="0"/>
          <w:numId w:val="2"/>
        </w:numPr>
        <w:spacing w:after="80" w:line="290" w:lineRule="auto"/>
      </w:pPr>
      <w:r>
        <w:rPr>
          <w:b/>
          <w:bCs/>
        </w:rPr>
        <w:t>Review.</w:t>
      </w:r>
      <w:r>
        <w:t xml:space="preserve"> For 24 hours the batch cannot be paid. Anyone can compare the published evidence with its hash. The guardian can void a batch that fails review, but only before anything was paid for it.</w:t>
      </w:r>
    </w:p>
    <w:p w14:paraId="3B74B662">
      <w:pPr>
        <w:pStyle w:val="18"/>
        <w:numPr>
          <w:ilvl w:val="0"/>
          <w:numId w:val="2"/>
        </w:numPr>
        <w:spacing w:after="80" w:line="290" w:lineRule="auto"/>
      </w:pPr>
      <w:r>
        <w:rPr>
          <w:b/>
          <w:bCs/>
        </w:rPr>
        <w:t>Reward.</w:t>
      </w:r>
      <w:r>
        <w:t xml:space="preserve"> After review, the guardian pays the collector or Point operator with </w:t>
      </w:r>
      <w:r>
        <w:rPr>
          <w:rFonts w:ascii="Consolas" w:hAnsi="Consolas" w:eastAsia="Consolas" w:cs="Consolas"/>
          <w:color w:val="6D28D9"/>
        </w:rPr>
        <w:t>payReward(batchId, to, amount)</w:t>
      </w:r>
      <w:r>
        <w:t>. The total for one batch can never exceed its weight times the reward cap, and never the pool balance.</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8"/>
        <w:gridCol w:w="2516"/>
        <w:gridCol w:w="3652"/>
      </w:tblGrid>
      <w:tr w14:paraId="2C49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324"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047B40B4">
            <w:pPr>
              <w:spacing w:after="0" w:line="270" w:lineRule="auto"/>
            </w:pPr>
            <w:r>
              <w:rPr>
                <w:b/>
                <w:bCs/>
                <w:color w:val="FFFFFF"/>
                <w:sz w:val="18"/>
                <w:szCs w:val="18"/>
              </w:rPr>
              <w:t>Rule</w:t>
            </w:r>
          </w:p>
        </w:tc>
        <w:tc>
          <w:tcPr>
            <w:tcW w:w="2659"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6EBEDC54">
            <w:pPr>
              <w:spacing w:after="0" w:line="270" w:lineRule="auto"/>
            </w:pPr>
            <w:r>
              <w:rPr>
                <w:b/>
                <w:bCs/>
                <w:color w:val="FFFFFF"/>
                <w:sz w:val="18"/>
                <w:szCs w:val="18"/>
              </w:rPr>
              <w:t>Value</w:t>
            </w:r>
          </w:p>
        </w:tc>
        <w:tc>
          <w:tcPr>
            <w:tcW w:w="3323"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48C79835">
            <w:pPr>
              <w:spacing w:after="0" w:line="270" w:lineRule="auto"/>
            </w:pPr>
            <w:r>
              <w:rPr>
                <w:b/>
                <w:bCs/>
                <w:color w:val="FFFFFF"/>
                <w:sz w:val="18"/>
                <w:szCs w:val="18"/>
              </w:rPr>
              <w:t>Enforced by</w:t>
            </w:r>
          </w:p>
        </w:tc>
      </w:tr>
      <w:tr w14:paraId="6D6B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2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6014F55E">
            <w:pPr>
              <w:spacing w:after="0" w:line="270" w:lineRule="auto"/>
            </w:pPr>
            <w:r>
              <w:rPr>
                <w:sz w:val="18"/>
                <w:szCs w:val="18"/>
              </w:rPr>
              <w:t>Review period before any payout</w:t>
            </w:r>
          </w:p>
        </w:tc>
        <w:tc>
          <w:tcPr>
            <w:tcW w:w="265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394413B">
            <w:pPr>
              <w:spacing w:after="0" w:line="270" w:lineRule="auto"/>
            </w:pPr>
            <w:r>
              <w:rPr>
                <w:sz w:val="18"/>
                <w:szCs w:val="18"/>
              </w:rPr>
              <w:t>24 hours</w:t>
            </w:r>
          </w:p>
        </w:tc>
        <w:tc>
          <w:tcPr>
            <w:tcW w:w="332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AA5E6E7">
            <w:pPr>
              <w:spacing w:after="0" w:line="270" w:lineRule="auto"/>
            </w:pPr>
            <w:r>
              <w:rPr>
                <w:sz w:val="18"/>
                <w:szCs w:val="18"/>
              </w:rPr>
              <w:t>ReclaimVault.REVIEW_PERIOD</w:t>
            </w:r>
          </w:p>
        </w:tc>
      </w:tr>
      <w:tr w14:paraId="0704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2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520D2AA2">
            <w:pPr>
              <w:spacing w:after="0" w:line="270" w:lineRule="auto"/>
            </w:pPr>
            <w:r>
              <w:rPr>
                <w:sz w:val="18"/>
                <w:szCs w:val="18"/>
              </w:rPr>
              <w:t>Reward cap at launch</w:t>
            </w:r>
          </w:p>
        </w:tc>
        <w:tc>
          <w:tcPr>
            <w:tcW w:w="2659"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CD11F73">
            <w:pPr>
              <w:spacing w:after="0" w:line="270" w:lineRule="auto"/>
            </w:pPr>
            <w:r>
              <w:rPr>
                <w:sz w:val="18"/>
                <w:szCs w:val="18"/>
              </w:rPr>
              <w:t>0.0002 ETH per kg (0.2 ETH per tonne)</w:t>
            </w:r>
          </w:p>
        </w:tc>
        <w:tc>
          <w:tcPr>
            <w:tcW w:w="3323"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5BB4D62">
            <w:pPr>
              <w:spacing w:after="0" w:line="270" w:lineRule="auto"/>
            </w:pPr>
            <w:r>
              <w:rPr>
                <w:sz w:val="18"/>
                <w:szCs w:val="18"/>
              </w:rPr>
              <w:t>maxWeiPerKg, changeable only after a 48-hour timelock</w:t>
            </w:r>
          </w:p>
        </w:tc>
      </w:tr>
      <w:tr w14:paraId="097F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2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B68D66B">
            <w:pPr>
              <w:spacing w:after="0" w:line="270" w:lineRule="auto"/>
            </w:pPr>
            <w:r>
              <w:rPr>
                <w:sz w:val="18"/>
                <w:szCs w:val="18"/>
              </w:rPr>
              <w:t>Hard ceiling of the cap</w:t>
            </w:r>
          </w:p>
        </w:tc>
        <w:tc>
          <w:tcPr>
            <w:tcW w:w="265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EE1164C">
            <w:pPr>
              <w:spacing w:after="0" w:line="270" w:lineRule="auto"/>
            </w:pPr>
            <w:r>
              <w:rPr>
                <w:sz w:val="18"/>
                <w:szCs w:val="18"/>
              </w:rPr>
              <w:t>0.001 ETH per kg</w:t>
            </w:r>
          </w:p>
        </w:tc>
        <w:tc>
          <w:tcPr>
            <w:tcW w:w="332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7FCABAA">
            <w:pPr>
              <w:spacing w:after="0" w:line="270" w:lineRule="auto"/>
            </w:pPr>
            <w:r>
              <w:rPr>
                <w:sz w:val="18"/>
                <w:szCs w:val="18"/>
              </w:rPr>
              <w:t>ReclaimVault.HARD_MAX_WEI_PER_KG, cannot change</w:t>
            </w:r>
          </w:p>
        </w:tc>
      </w:tr>
      <w:tr w14:paraId="192C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2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E0871C2">
            <w:pPr>
              <w:spacing w:after="0" w:line="270" w:lineRule="auto"/>
            </w:pPr>
            <w:r>
              <w:rPr>
                <w:sz w:val="18"/>
                <w:szCs w:val="18"/>
              </w:rPr>
              <w:t>Voided batches</w:t>
            </w:r>
          </w:p>
        </w:tc>
        <w:tc>
          <w:tcPr>
            <w:tcW w:w="2659"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232379B7">
            <w:pPr>
              <w:spacing w:after="0" w:line="270" w:lineRule="auto"/>
            </w:pPr>
            <w:r>
              <w:rPr>
                <w:sz w:val="18"/>
                <w:szCs w:val="18"/>
              </w:rPr>
              <w:t>Never paid</w:t>
            </w:r>
          </w:p>
        </w:tc>
        <w:tc>
          <w:tcPr>
            <w:tcW w:w="3323"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3609CD00">
            <w:pPr>
              <w:spacing w:after="0" w:line="270" w:lineRule="auto"/>
            </w:pPr>
            <w:r>
              <w:rPr>
                <w:sz w:val="18"/>
                <w:szCs w:val="18"/>
              </w:rPr>
              <w:t>payReward reverts</w:t>
            </w:r>
          </w:p>
        </w:tc>
      </w:tr>
      <w:tr w14:paraId="2236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2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E9DBFE6">
            <w:pPr>
              <w:spacing w:after="0" w:line="270" w:lineRule="auto"/>
            </w:pPr>
            <w:r>
              <w:rPr>
                <w:sz w:val="18"/>
                <w:szCs w:val="18"/>
              </w:rPr>
              <w:t>Other ways out of the rewards pool</w:t>
            </w:r>
          </w:p>
        </w:tc>
        <w:tc>
          <w:tcPr>
            <w:tcW w:w="265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8CD67FB">
            <w:pPr>
              <w:spacing w:after="0" w:line="270" w:lineRule="auto"/>
            </w:pPr>
            <w:r>
              <w:rPr>
                <w:sz w:val="18"/>
                <w:szCs w:val="18"/>
              </w:rPr>
              <w:t>None</w:t>
            </w:r>
          </w:p>
        </w:tc>
        <w:tc>
          <w:tcPr>
            <w:tcW w:w="332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23778AF">
            <w:pPr>
              <w:spacing w:after="0" w:line="270" w:lineRule="auto"/>
            </w:pPr>
            <w:r>
              <w:rPr>
                <w:sz w:val="18"/>
                <w:szCs w:val="18"/>
              </w:rPr>
              <w:t>Only payReward moves pool ETH</w:t>
            </w:r>
          </w:p>
        </w:tc>
      </w:tr>
    </w:tbl>
    <w:p w14:paraId="74E39DE8">
      <w:pPr>
        <w:spacing w:after="120"/>
      </w:pPr>
    </w:p>
    <w:p w14:paraId="1442957F">
      <w:pPr>
        <w:pBdr>
          <w:left w:val="single" w:color="6D28D9" w:sz="18" w:space="8"/>
        </w:pBdr>
        <w:shd w:val="clear" w:color="auto" w:fill="F4F0FF"/>
        <w:spacing w:before="120" w:after="200" w:line="300" w:lineRule="auto"/>
        <w:ind w:left="200" w:right="200"/>
      </w:pPr>
      <w:r>
        <w:rPr>
          <w:b/>
          <w:bCs/>
          <w:color w:val="16161D"/>
        </w:rPr>
        <w:t>Honest limit.</w:t>
      </w:r>
      <w:r>
        <w:rPr>
          <w:color w:val="16161D"/>
        </w:rPr>
        <w:t xml:space="preserve"> The ledger records the attester's claims and publishes them for review. It does not by itself prove that waste was physically recycled. Trust rests on the attester, the public evidence, the 24-hour review and later independent audits.</w:t>
      </w:r>
    </w:p>
    <w:p w14:paraId="4AF8A3A9">
      <w:pPr>
        <w:pStyle w:val="2"/>
      </w:pPr>
      <w:bookmarkStart w:id="4" w:name="_Toc25589"/>
      <w:r>
        <w:t>5. The $ATMX token</w:t>
      </w:r>
      <w:bookmarkEnd w:id="4"/>
    </w:p>
    <w:p w14:paraId="4256326E">
      <w:pPr>
        <w:spacing w:after="140" w:line="300" w:lineRule="auto"/>
      </w:pPr>
      <w:r>
        <w:t>$ATMX has a fixed supply of 1,000,000,000 tokens with 18 decimals. Nothing can mint more, and there is no owner, tax or pause inside the token.</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4875"/>
        <w:gridCol w:w="1920"/>
      </w:tblGrid>
      <w:tr w14:paraId="05E3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1"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02798AB3">
            <w:pPr>
              <w:spacing w:after="0" w:line="270" w:lineRule="auto"/>
            </w:pPr>
            <w:r>
              <w:rPr>
                <w:b/>
                <w:bCs/>
                <w:color w:val="FFFFFF"/>
                <w:sz w:val="18"/>
                <w:szCs w:val="18"/>
              </w:rPr>
              <w:t>Use</w:t>
            </w:r>
          </w:p>
        </w:tc>
        <w:tc>
          <w:tcPr>
            <w:tcW w:w="4875"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2004557F">
            <w:pPr>
              <w:spacing w:after="0" w:line="270" w:lineRule="auto"/>
            </w:pPr>
            <w:r>
              <w:rPr>
                <w:b/>
                <w:bCs/>
                <w:color w:val="FFFFFF"/>
                <w:sz w:val="18"/>
                <w:szCs w:val="18"/>
              </w:rPr>
              <w:t>How</w:t>
            </w:r>
          </w:p>
        </w:tc>
        <w:tc>
          <w:tcPr>
            <w:tcW w:w="1920"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46E62CDD">
            <w:pPr>
              <w:spacing w:after="0" w:line="270" w:lineRule="auto"/>
            </w:pPr>
            <w:r>
              <w:rPr>
                <w:b/>
                <w:bCs/>
                <w:color w:val="FFFFFF"/>
                <w:sz w:val="18"/>
                <w:szCs w:val="18"/>
              </w:rPr>
              <w:t>Status</w:t>
            </w:r>
          </w:p>
        </w:tc>
      </w:tr>
      <w:tr w14:paraId="3A37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11"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DE088E3">
            <w:pPr>
              <w:spacing w:after="0" w:line="270" w:lineRule="auto"/>
            </w:pPr>
            <w:r>
              <w:rPr>
                <w:sz w:val="18"/>
                <w:szCs w:val="18"/>
              </w:rPr>
              <w:t>Trading and price discovery</w:t>
            </w:r>
          </w:p>
        </w:tc>
        <w:tc>
          <w:tcPr>
            <w:tcW w:w="4875"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959D34B">
            <w:pPr>
              <w:spacing w:after="0" w:line="270" w:lineRule="auto"/>
            </w:pPr>
            <w:r>
              <w:rPr>
                <w:sz w:val="18"/>
                <w:szCs w:val="18"/>
              </w:rPr>
              <w:t>Uniswap v4 pool on Programmable, ETH/$ATMX</w:t>
            </w:r>
          </w:p>
        </w:tc>
        <w:tc>
          <w:tcPr>
            <w:tcW w:w="192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63F9AB19">
            <w:pPr>
              <w:spacing w:after="0" w:line="270" w:lineRule="auto"/>
            </w:pPr>
            <w:r>
              <w:rPr>
                <w:sz w:val="18"/>
                <w:szCs w:val="18"/>
              </w:rPr>
              <w:t>At launch</w:t>
            </w:r>
          </w:p>
        </w:tc>
      </w:tr>
      <w:tr w14:paraId="4006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11"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0E5481D">
            <w:pPr>
              <w:spacing w:after="0" w:line="270" w:lineRule="auto"/>
            </w:pPr>
            <w:r>
              <w:rPr>
                <w:sz w:val="18"/>
                <w:szCs w:val="18"/>
              </w:rPr>
              <w:t>Funding the network</w:t>
            </w:r>
          </w:p>
        </w:tc>
        <w:tc>
          <w:tcPr>
            <w:tcW w:w="4875"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27C1D12">
            <w:pPr>
              <w:spacing w:after="0" w:line="270" w:lineRule="auto"/>
            </w:pPr>
            <w:r>
              <w:rPr>
                <w:sz w:val="18"/>
                <w:szCs w:val="18"/>
              </w:rPr>
              <w:t>Every trade pays a 2.5% creator fee in ETH to the Reclaim Vault</w:t>
            </w:r>
          </w:p>
        </w:tc>
        <w:tc>
          <w:tcPr>
            <w:tcW w:w="192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1B46701">
            <w:pPr>
              <w:spacing w:after="0" w:line="270" w:lineRule="auto"/>
            </w:pPr>
            <w:r>
              <w:rPr>
                <w:sz w:val="18"/>
                <w:szCs w:val="18"/>
              </w:rPr>
              <w:t>At launch</w:t>
            </w:r>
          </w:p>
        </w:tc>
      </w:tr>
      <w:tr w14:paraId="7927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11"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AEB24EE">
            <w:pPr>
              <w:spacing w:after="0" w:line="270" w:lineRule="auto"/>
            </w:pPr>
            <w:r>
              <w:rPr>
                <w:sz w:val="18"/>
                <w:szCs w:val="18"/>
              </w:rPr>
              <w:t>Project treasury</w:t>
            </w:r>
          </w:p>
        </w:tc>
        <w:tc>
          <w:tcPr>
            <w:tcW w:w="4875"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6432ADA4">
            <w:pPr>
              <w:spacing w:after="0" w:line="270" w:lineRule="auto"/>
            </w:pPr>
            <w:r>
              <w:rPr>
                <w:sz w:val="18"/>
                <w:szCs w:val="18"/>
              </w:rPr>
              <w:t>80% of creator fees go to the project treasury wallet, which funds the team, development, operations and marketing</w:t>
            </w:r>
          </w:p>
        </w:tc>
        <w:tc>
          <w:tcPr>
            <w:tcW w:w="192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35485E0">
            <w:pPr>
              <w:spacing w:after="0" w:line="270" w:lineRule="auto"/>
            </w:pPr>
            <w:r>
              <w:rPr>
                <w:sz w:val="18"/>
                <w:szCs w:val="18"/>
              </w:rPr>
              <w:t>At launch</w:t>
            </w:r>
          </w:p>
        </w:tc>
      </w:tr>
      <w:tr w14:paraId="452E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11"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64C542D">
            <w:pPr>
              <w:spacing w:after="0" w:line="270" w:lineRule="auto"/>
            </w:pPr>
            <w:r>
              <w:rPr>
                <w:sz w:val="18"/>
                <w:szCs w:val="18"/>
              </w:rPr>
              <w:t>Paying for services</w:t>
            </w:r>
          </w:p>
        </w:tc>
        <w:tc>
          <w:tcPr>
            <w:tcW w:w="4875"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54537DC8">
            <w:pPr>
              <w:spacing w:after="0" w:line="270" w:lineRule="auto"/>
            </w:pPr>
            <w:r>
              <w:rPr>
                <w:sz w:val="18"/>
                <w:szCs w:val="18"/>
              </w:rPr>
              <w:t>Door-to-door pickup and weight reports for businesses</w:t>
            </w:r>
          </w:p>
        </w:tc>
        <w:tc>
          <w:tcPr>
            <w:tcW w:w="192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407E90D">
            <w:pPr>
              <w:spacing w:after="0" w:line="270" w:lineRule="auto"/>
            </w:pPr>
            <w:r>
              <w:rPr>
                <w:sz w:val="18"/>
                <w:szCs w:val="18"/>
              </w:rPr>
              <w:t>Planned</w:t>
            </w:r>
          </w:p>
        </w:tc>
      </w:tr>
      <w:tr w14:paraId="096E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11"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E67E0DB">
            <w:pPr>
              <w:spacing w:after="0" w:line="270" w:lineRule="auto"/>
            </w:pPr>
            <w:r>
              <w:rPr>
                <w:sz w:val="18"/>
                <w:szCs w:val="18"/>
              </w:rPr>
              <w:t>Operator staking</w:t>
            </w:r>
          </w:p>
        </w:tc>
        <w:tc>
          <w:tcPr>
            <w:tcW w:w="4875"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1048DC0">
            <w:pPr>
              <w:spacing w:after="0" w:line="270" w:lineRule="auto"/>
            </w:pPr>
            <w:r>
              <w:rPr>
                <w:sz w:val="18"/>
                <w:szCs w:val="18"/>
              </w:rPr>
              <w:t>Point operators stake $ATMX as a bond and lose part of it for false weights</w:t>
            </w:r>
          </w:p>
        </w:tc>
        <w:tc>
          <w:tcPr>
            <w:tcW w:w="192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CAA2814">
            <w:pPr>
              <w:spacing w:after="0" w:line="270" w:lineRule="auto"/>
            </w:pPr>
            <w:r>
              <w:rPr>
                <w:sz w:val="18"/>
                <w:szCs w:val="18"/>
              </w:rPr>
              <w:t>Planned, separate contract</w:t>
            </w:r>
          </w:p>
        </w:tc>
      </w:tr>
      <w:tr w14:paraId="3806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11"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903F2B9">
            <w:pPr>
              <w:spacing w:after="0" w:line="270" w:lineRule="auto"/>
            </w:pPr>
            <w:r>
              <w:rPr>
                <w:sz w:val="18"/>
                <w:szCs w:val="18"/>
              </w:rPr>
              <w:t>Governance</w:t>
            </w:r>
          </w:p>
        </w:tc>
        <w:tc>
          <w:tcPr>
            <w:tcW w:w="4875"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4B156319">
            <w:pPr>
              <w:spacing w:after="0" w:line="270" w:lineRule="auto"/>
            </w:pPr>
            <w:r>
              <w:rPr>
                <w:sz w:val="18"/>
                <w:szCs w:val="18"/>
              </w:rPr>
              <w:t>Voting on reward rates and new cities</w:t>
            </w:r>
          </w:p>
        </w:tc>
        <w:tc>
          <w:tcPr>
            <w:tcW w:w="192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8C8D932">
            <w:pPr>
              <w:spacing w:after="0" w:line="270" w:lineRule="auto"/>
            </w:pPr>
            <w:r>
              <w:rPr>
                <w:sz w:val="18"/>
                <w:szCs w:val="18"/>
              </w:rPr>
              <w:t>Planned, separate contract</w:t>
            </w:r>
          </w:p>
        </w:tc>
      </w:tr>
    </w:tbl>
    <w:p w14:paraId="39F547A1">
      <w:pPr>
        <w:spacing w:after="120"/>
      </w:pPr>
    </w:p>
    <w:p w14:paraId="0FBB5ED6">
      <w:pPr>
        <w:pStyle w:val="3"/>
      </w:pPr>
      <w:bookmarkStart w:id="5" w:name="_Toc10363"/>
      <w:r>
        <w:t>5.1 Supply and allocation</w:t>
      </w:r>
      <w:bookmarkEnd w:id="5"/>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1018"/>
        <w:gridCol w:w="1745"/>
        <w:gridCol w:w="3635"/>
      </w:tblGrid>
      <w:tr w14:paraId="71EF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908"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4E05EF76">
            <w:pPr>
              <w:spacing w:after="0" w:line="270" w:lineRule="auto"/>
            </w:pPr>
            <w:r>
              <w:rPr>
                <w:b/>
                <w:bCs/>
                <w:color w:val="FFFFFF"/>
                <w:sz w:val="18"/>
                <w:szCs w:val="18"/>
              </w:rPr>
              <w:t>Allocation</w:t>
            </w:r>
          </w:p>
        </w:tc>
        <w:tc>
          <w:tcPr>
            <w:tcW w:w="1018"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0FBC27D2">
            <w:pPr>
              <w:spacing w:after="0" w:line="270" w:lineRule="auto"/>
            </w:pPr>
            <w:r>
              <w:rPr>
                <w:b/>
                <w:bCs/>
                <w:color w:val="FFFFFF"/>
                <w:sz w:val="18"/>
                <w:szCs w:val="18"/>
              </w:rPr>
              <w:t>Share</w:t>
            </w:r>
          </w:p>
        </w:tc>
        <w:tc>
          <w:tcPr>
            <w:tcW w:w="1745"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6D9ADA39">
            <w:pPr>
              <w:spacing w:after="0" w:line="270" w:lineRule="auto"/>
            </w:pPr>
            <w:r>
              <w:rPr>
                <w:b/>
                <w:bCs/>
                <w:color w:val="FFFFFF"/>
                <w:sz w:val="18"/>
                <w:szCs w:val="18"/>
              </w:rPr>
              <w:t>$ATMX</w:t>
            </w:r>
          </w:p>
        </w:tc>
        <w:tc>
          <w:tcPr>
            <w:tcW w:w="3635"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36506519">
            <w:pPr>
              <w:spacing w:after="0" w:line="270" w:lineRule="auto"/>
            </w:pPr>
            <w:r>
              <w:rPr>
                <w:b/>
                <w:bCs/>
                <w:color w:val="FFFFFF"/>
                <w:sz w:val="18"/>
                <w:szCs w:val="18"/>
              </w:rPr>
              <w:t>Notes</w:t>
            </w:r>
          </w:p>
        </w:tc>
      </w:tr>
      <w:tr w14:paraId="47EA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66F43138">
            <w:pPr>
              <w:spacing w:after="0" w:line="270" w:lineRule="auto"/>
            </w:pPr>
            <w:r>
              <w:rPr>
                <w:sz w:val="18"/>
                <w:szCs w:val="18"/>
              </w:rPr>
              <w:t>Uniswap v4 pool (ETH/$ATMX)</w:t>
            </w:r>
          </w:p>
        </w:tc>
        <w:tc>
          <w:tcPr>
            <w:tcW w:w="101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B50B042">
            <w:pPr>
              <w:spacing w:after="0" w:line="270" w:lineRule="auto"/>
            </w:pPr>
            <w:r>
              <w:rPr>
                <w:sz w:val="18"/>
                <w:szCs w:val="18"/>
              </w:rPr>
              <w:t>100%</w:t>
            </w:r>
          </w:p>
        </w:tc>
        <w:tc>
          <w:tcPr>
            <w:tcW w:w="1745"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0FCC9A9">
            <w:pPr>
              <w:spacing w:after="0" w:line="270" w:lineRule="auto"/>
            </w:pPr>
            <w:r>
              <w:rPr>
                <w:sz w:val="18"/>
                <w:szCs w:val="18"/>
              </w:rPr>
              <w:t>1,000,000,000</w:t>
            </w:r>
          </w:p>
        </w:tc>
        <w:tc>
          <w:tcPr>
            <w:tcW w:w="3635"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F4A11FF">
            <w:pPr>
              <w:spacing w:after="0" w:line="270" w:lineRule="auto"/>
            </w:pPr>
            <w:r>
              <w:rPr>
                <w:sz w:val="18"/>
                <w:szCs w:val="18"/>
              </w:rPr>
              <w:t>Placed in the launch transaction as one position, locked forever</w:t>
            </w:r>
          </w:p>
        </w:tc>
      </w:tr>
      <w:tr w14:paraId="5135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8"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21A11669">
            <w:pPr>
              <w:spacing w:after="0" w:line="270" w:lineRule="auto"/>
            </w:pPr>
            <w:r>
              <w:rPr>
                <w:sz w:val="18"/>
                <w:szCs w:val="18"/>
              </w:rPr>
              <w:t>Team, operations, partners, community, airdrop</w:t>
            </w:r>
          </w:p>
        </w:tc>
        <w:tc>
          <w:tcPr>
            <w:tcW w:w="1018"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2A11FBA">
            <w:pPr>
              <w:spacing w:after="0" w:line="270" w:lineRule="auto"/>
            </w:pPr>
            <w:r>
              <w:rPr>
                <w:sz w:val="18"/>
                <w:szCs w:val="18"/>
              </w:rPr>
              <w:t>0%</w:t>
            </w:r>
          </w:p>
        </w:tc>
        <w:tc>
          <w:tcPr>
            <w:tcW w:w="1745"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FF6C69B">
            <w:pPr>
              <w:spacing w:after="0" w:line="270" w:lineRule="auto"/>
            </w:pPr>
            <w:r>
              <w:rPr>
                <w:sz w:val="18"/>
                <w:szCs w:val="18"/>
              </w:rPr>
              <w:t>0</w:t>
            </w:r>
          </w:p>
        </w:tc>
        <w:tc>
          <w:tcPr>
            <w:tcW w:w="3635"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4690467B">
            <w:pPr>
              <w:spacing w:after="0" w:line="270" w:lineRule="auto"/>
            </w:pPr>
            <w:r>
              <w:rPr>
                <w:sz w:val="18"/>
                <w:szCs w:val="18"/>
              </w:rPr>
              <w:t>None exist; there is no vesting. The team buys from the same pool as everyone else.</w:t>
            </w:r>
          </w:p>
        </w:tc>
      </w:tr>
    </w:tbl>
    <w:p w14:paraId="09AA8DC9">
      <w:pPr>
        <w:spacing w:after="120"/>
      </w:pPr>
    </w:p>
    <w:p w14:paraId="21AF3C76">
      <w:pPr>
        <w:spacing w:after="140" w:line="300" w:lineRule="auto"/>
      </w:pPr>
      <w:r>
        <w:t>The only $ATMX outside the pool at launch is the launch wallet's single opening buy, made inside the launch transaction at the pool price and capped at 2% of supply by the launch-protection rules. Version 1.0's 2% token tax (1% burn, 1% environment fund) is replaced by the creator fee below.</w:t>
      </w:r>
    </w:p>
    <w:p w14:paraId="0318C3D5">
      <w:pPr>
        <w:pStyle w:val="2"/>
      </w:pPr>
      <w:bookmarkStart w:id="6" w:name="_Toc13523"/>
      <w:r>
        <w:t>6. Launch on Programmable</w:t>
      </w:r>
      <w:bookmarkEnd w:id="6"/>
    </w:p>
    <w:p w14:paraId="7F488783">
      <w:pPr>
        <w:spacing w:after="140" w:line="300" w:lineRule="auto"/>
      </w:pPr>
      <w:r>
        <w:t xml:space="preserve">ATOMYX launches as a </w:t>
      </w:r>
      <w:r>
        <w:rPr>
          <w:b/>
          <w:bCs/>
        </w:rPr>
        <w:t>Programmable Custom Launch on Ethereum</w:t>
      </w:r>
      <w:r>
        <w:t>. Programmable requires every new native-ETH launch to use its sealed launch-protection package (v1). ATOMYX uses that package unchanged and adds one contract of its own, the Reclaim Vault, which is the hook's immutable creator-fee recipient.</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4"/>
        <w:gridCol w:w="3102"/>
        <w:gridCol w:w="4720"/>
      </w:tblGrid>
      <w:tr w14:paraId="6542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84"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26229BE7">
            <w:pPr>
              <w:spacing w:after="0" w:line="270" w:lineRule="auto"/>
            </w:pPr>
            <w:r>
              <w:rPr>
                <w:b/>
                <w:bCs/>
                <w:color w:val="FFFFFF"/>
                <w:sz w:val="18"/>
                <w:szCs w:val="18"/>
              </w:rPr>
              <w:t>Target</w:t>
            </w:r>
          </w:p>
        </w:tc>
        <w:tc>
          <w:tcPr>
            <w:tcW w:w="310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1CFA5915">
            <w:pPr>
              <w:spacing w:after="0" w:line="270" w:lineRule="auto"/>
            </w:pPr>
            <w:r>
              <w:rPr>
                <w:b/>
                <w:bCs/>
                <w:color w:val="FFFFFF"/>
                <w:sz w:val="18"/>
                <w:szCs w:val="18"/>
              </w:rPr>
              <w:t>Contract</w:t>
            </w:r>
          </w:p>
        </w:tc>
        <w:tc>
          <w:tcPr>
            <w:tcW w:w="4720"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70CFD69F">
            <w:pPr>
              <w:spacing w:after="0" w:line="270" w:lineRule="auto"/>
            </w:pPr>
            <w:r>
              <w:rPr>
                <w:b/>
                <w:bCs/>
                <w:color w:val="FFFFFF"/>
                <w:sz w:val="18"/>
                <w:szCs w:val="18"/>
              </w:rPr>
              <w:t>Role</w:t>
            </w:r>
          </w:p>
        </w:tc>
      </w:tr>
      <w:tr w14:paraId="0A59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5850D64">
            <w:pPr>
              <w:spacing w:after="0" w:line="270" w:lineRule="auto"/>
            </w:pPr>
            <w:r>
              <w:rPr>
                <w:sz w:val="18"/>
                <w:szCs w:val="18"/>
              </w:rPr>
              <w:t>initializer</w:t>
            </w:r>
          </w:p>
        </w:tc>
        <w:tc>
          <w:tcPr>
            <w:tcW w:w="310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F6C3118">
            <w:pPr>
              <w:spacing w:after="0" w:line="270" w:lineRule="auto"/>
            </w:pPr>
            <w:r>
              <w:rPr>
                <w:sz w:val="18"/>
                <w:szCs w:val="18"/>
              </w:rPr>
              <w:t>ProtectedNativeInitializerV1 (Programmable)</w:t>
            </w:r>
          </w:p>
        </w:tc>
        <w:tc>
          <w:tcPr>
            <w:tcW w:w="472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BCB48E1">
            <w:pPr>
              <w:spacing w:after="0" w:line="270" w:lineRule="auto"/>
            </w:pPr>
            <w:r>
              <w:rPr>
                <w:sz w:val="18"/>
                <w:szCs w:val="18"/>
              </w:rPr>
              <w:t>Checks the opening valuation on the Chainlink ETH/USD feed, places 100% of supply as one locked position, makes the capped opening buy</w:t>
            </w:r>
          </w:p>
        </w:tc>
      </w:tr>
      <w:tr w14:paraId="2358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5C8C00F">
            <w:pPr>
              <w:spacing w:after="0" w:line="270" w:lineRule="auto"/>
            </w:pPr>
            <w:r>
              <w:rPr>
                <w:sz w:val="18"/>
                <w:szCs w:val="18"/>
              </w:rPr>
              <w:t>token</w:t>
            </w:r>
          </w:p>
        </w:tc>
        <w:tc>
          <w:tcPr>
            <w:tcW w:w="310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26B867A9">
            <w:pPr>
              <w:spacing w:after="0" w:line="270" w:lineRule="auto"/>
            </w:pPr>
            <w:r>
              <w:rPr>
                <w:sz w:val="18"/>
                <w:szCs w:val="18"/>
              </w:rPr>
              <w:t>ProtectedLaunchTokenV1 (Programmable)</w:t>
            </w:r>
          </w:p>
        </w:tc>
        <w:tc>
          <w:tcPr>
            <w:tcW w:w="472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AAD12EE">
            <w:pPr>
              <w:spacing w:after="0" w:line="270" w:lineRule="auto"/>
            </w:pPr>
            <w:r>
              <w:rPr>
                <w:sz w:val="18"/>
                <w:szCs w:val="18"/>
              </w:rPr>
              <w:t>$ATMX, 1,000,000,000 fixed supply, 18 decimals; 2% receive cap per wallet for the first 300 seconds</w:t>
            </w:r>
          </w:p>
        </w:tc>
      </w:tr>
      <w:tr w14:paraId="605C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7D72997">
            <w:pPr>
              <w:spacing w:after="0" w:line="270" w:lineRule="auto"/>
            </w:pPr>
            <w:r>
              <w:rPr>
                <w:sz w:val="18"/>
                <w:szCs w:val="18"/>
              </w:rPr>
              <w:t>hook</w:t>
            </w:r>
          </w:p>
        </w:tc>
        <w:tc>
          <w:tcPr>
            <w:tcW w:w="310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F6F219F">
            <w:pPr>
              <w:spacing w:after="0" w:line="270" w:lineRule="auto"/>
            </w:pPr>
            <w:r>
              <w:rPr>
                <w:sz w:val="18"/>
                <w:szCs w:val="18"/>
              </w:rPr>
              <w:t>ProtectedNative30HookV1 (Programmable)</w:t>
            </w:r>
          </w:p>
        </w:tc>
        <w:tc>
          <w:tcPr>
            <w:tcW w:w="472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CF15C13">
            <w:pPr>
              <w:spacing w:after="0" w:line="270" w:lineRule="auto"/>
            </w:pPr>
            <w:r>
              <w:rPr>
                <w:sz w:val="18"/>
                <w:szCs w:val="18"/>
              </w:rPr>
              <w:t>Takes the platform and creator fees on the ETH leg of every swap; enforces the opening protection</w:t>
            </w:r>
          </w:p>
        </w:tc>
      </w:tr>
      <w:tr w14:paraId="3DA0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8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95C0D5A">
            <w:pPr>
              <w:spacing w:after="0" w:line="270" w:lineRule="auto"/>
            </w:pPr>
            <w:r>
              <w:rPr>
                <w:sz w:val="18"/>
                <w:szCs w:val="18"/>
              </w:rPr>
              <w:t>vault</w:t>
            </w:r>
          </w:p>
        </w:tc>
        <w:tc>
          <w:tcPr>
            <w:tcW w:w="310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9751F46">
            <w:pPr>
              <w:spacing w:after="0" w:line="270" w:lineRule="auto"/>
            </w:pPr>
            <w:r>
              <w:rPr>
                <w:sz w:val="18"/>
                <w:szCs w:val="18"/>
              </w:rPr>
              <w:t>ReclaimVault (ATOMYX)</w:t>
            </w:r>
          </w:p>
        </w:tc>
        <w:tc>
          <w:tcPr>
            <w:tcW w:w="472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2CF6FA36">
            <w:pPr>
              <w:spacing w:after="0" w:line="270" w:lineRule="auto"/>
            </w:pPr>
            <w:r>
              <w:rPr>
                <w:sz w:val="18"/>
                <w:szCs w:val="18"/>
              </w:rPr>
              <w:t>Receives every creator fee; splits it 80/20; holds the Recycling Ledger</w:t>
            </w:r>
          </w:p>
        </w:tc>
      </w:tr>
    </w:tbl>
    <w:p w14:paraId="02947A66">
      <w:pPr>
        <w:spacing w:after="120"/>
      </w:pPr>
    </w:p>
    <w:p w14:paraId="75132A02">
      <w:pPr>
        <w:pStyle w:val="3"/>
      </w:pPr>
      <w:bookmarkStart w:id="7" w:name="_Toc31488"/>
      <w:r>
        <w:t>6.1 Fees, fixed for ever</w:t>
      </w:r>
      <w:bookmarkEnd w:id="7"/>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3"/>
        <w:gridCol w:w="3579"/>
        <w:gridCol w:w="2864"/>
      </w:tblGrid>
      <w:tr w14:paraId="2503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863"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3ABECE41">
            <w:pPr>
              <w:spacing w:after="0" w:line="270" w:lineRule="auto"/>
            </w:pPr>
            <w:r>
              <w:rPr>
                <w:b/>
                <w:bCs/>
                <w:color w:val="FFFFFF"/>
                <w:sz w:val="18"/>
                <w:szCs w:val="18"/>
              </w:rPr>
              <w:t>Fee</w:t>
            </w:r>
          </w:p>
        </w:tc>
        <w:tc>
          <w:tcPr>
            <w:tcW w:w="3579"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15A7C64D">
            <w:pPr>
              <w:spacing w:after="0" w:line="270" w:lineRule="auto"/>
            </w:pPr>
            <w:r>
              <w:rPr>
                <w:b/>
                <w:bCs/>
                <w:color w:val="FFFFFF"/>
                <w:sz w:val="18"/>
                <w:szCs w:val="18"/>
              </w:rPr>
              <w:t>Rate</w:t>
            </w:r>
          </w:p>
        </w:tc>
        <w:tc>
          <w:tcPr>
            <w:tcW w:w="2864"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5AB2994C">
            <w:pPr>
              <w:spacing w:after="0" w:line="270" w:lineRule="auto"/>
            </w:pPr>
            <w:r>
              <w:rPr>
                <w:b/>
                <w:bCs/>
                <w:color w:val="FFFFFF"/>
                <w:sz w:val="18"/>
                <w:szCs w:val="18"/>
              </w:rPr>
              <w:t>Paid to</w:t>
            </w:r>
          </w:p>
        </w:tc>
      </w:tr>
      <w:tr w14:paraId="6FF7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6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6160F613">
            <w:pPr>
              <w:spacing w:after="0" w:line="270" w:lineRule="auto"/>
            </w:pPr>
            <w:r>
              <w:rPr>
                <w:sz w:val="18"/>
                <w:szCs w:val="18"/>
              </w:rPr>
              <w:t>Programmable platform fee</w:t>
            </w:r>
          </w:p>
        </w:tc>
        <w:tc>
          <w:tcPr>
            <w:tcW w:w="35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D0F75DB">
            <w:pPr>
              <w:spacing w:after="0" w:line="270" w:lineRule="auto"/>
            </w:pPr>
            <w:r>
              <w:rPr>
                <w:sz w:val="18"/>
                <w:szCs w:val="18"/>
              </w:rPr>
              <w:t>0.30% on buys and sells</w:t>
            </w:r>
          </w:p>
        </w:tc>
        <w:tc>
          <w:tcPr>
            <w:tcW w:w="286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4491276">
            <w:pPr>
              <w:spacing w:after="0" w:line="270" w:lineRule="auto"/>
            </w:pPr>
            <w:r>
              <w:rPr>
                <w:sz w:val="18"/>
                <w:szCs w:val="18"/>
              </w:rPr>
              <w:t>Programmable treasury</w:t>
            </w:r>
          </w:p>
        </w:tc>
      </w:tr>
      <w:tr w14:paraId="4F91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63"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D1763B6">
            <w:pPr>
              <w:spacing w:after="0" w:line="270" w:lineRule="auto"/>
            </w:pPr>
            <w:r>
              <w:rPr>
                <w:sz w:val="18"/>
                <w:szCs w:val="18"/>
              </w:rPr>
              <w:t>ATOMYX creator fee</w:t>
            </w:r>
          </w:p>
        </w:tc>
        <w:tc>
          <w:tcPr>
            <w:tcW w:w="3579"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0D7DA94">
            <w:pPr>
              <w:spacing w:after="0" w:line="270" w:lineRule="auto"/>
            </w:pPr>
            <w:r>
              <w:rPr>
                <w:sz w:val="18"/>
                <w:szCs w:val="18"/>
              </w:rPr>
              <w:t>2.5% on buys and on sells, fixed at deployment</w:t>
            </w:r>
          </w:p>
        </w:tc>
        <w:tc>
          <w:tcPr>
            <w:tcW w:w="2864"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22ADB67C">
            <w:pPr>
              <w:spacing w:after="0" w:line="270" w:lineRule="auto"/>
            </w:pPr>
            <w:r>
              <w:rPr>
                <w:sz w:val="18"/>
                <w:szCs w:val="18"/>
              </w:rPr>
              <w:t>Reclaim Vault</w:t>
            </w:r>
          </w:p>
        </w:tc>
      </w:tr>
      <w:tr w14:paraId="6AA3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6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936FDBC">
            <w:pPr>
              <w:spacing w:after="0" w:line="270" w:lineRule="auto"/>
            </w:pPr>
            <w:r>
              <w:rPr>
                <w:sz w:val="18"/>
                <w:szCs w:val="18"/>
              </w:rPr>
              <w:t>All-in after the first 30 seconds</w:t>
            </w:r>
          </w:p>
        </w:tc>
        <w:tc>
          <w:tcPr>
            <w:tcW w:w="35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EC4D6F8">
            <w:pPr>
              <w:spacing w:after="0" w:line="270" w:lineRule="auto"/>
            </w:pPr>
            <w:r>
              <w:rPr>
                <w:sz w:val="18"/>
                <w:szCs w:val="18"/>
              </w:rPr>
              <w:t>2.8%, in ETH, rounded up per trade</w:t>
            </w:r>
          </w:p>
        </w:tc>
        <w:tc>
          <w:tcPr>
            <w:tcW w:w="2864"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8908359">
            <w:pPr>
              <w:spacing w:after="0" w:line="270" w:lineRule="auto"/>
            </w:pPr>
          </w:p>
        </w:tc>
      </w:tr>
    </w:tbl>
    <w:p w14:paraId="57FAAB8B">
      <w:pPr>
        <w:spacing w:after="120"/>
      </w:pPr>
    </w:p>
    <w:p w14:paraId="2E9FAA26">
      <w:pPr>
        <w:pStyle w:val="3"/>
      </w:pPr>
      <w:bookmarkStart w:id="8" w:name="_Toc15372"/>
      <w:r>
        <w:t>6.2 Born protected</w:t>
      </w:r>
      <w:bookmarkEnd w:id="8"/>
    </w:p>
    <w:p w14:paraId="385D36A9">
      <w:pPr>
        <w:pStyle w:val="18"/>
        <w:numPr>
          <w:ilvl w:val="0"/>
          <w:numId w:val="1"/>
        </w:numPr>
        <w:spacing w:after="80" w:line="290" w:lineRule="auto"/>
      </w:pPr>
      <w:r>
        <w:rPr>
          <w:b/>
          <w:bCs/>
        </w:rPr>
        <w:t>Opening valuation:</w:t>
      </w:r>
      <w:r>
        <w:t xml:space="preserve"> at least USD 15,000 on the Chainlink ETH/USD feed, or the launch reverts.</w:t>
      </w:r>
    </w:p>
    <w:p w14:paraId="6CAB1B90">
      <w:pPr>
        <w:pStyle w:val="18"/>
        <w:numPr>
          <w:ilvl w:val="0"/>
          <w:numId w:val="1"/>
        </w:numPr>
        <w:spacing w:after="80" w:line="290" w:lineRule="auto"/>
      </w:pPr>
      <w:r>
        <w:rPr>
          <w:b/>
          <w:bCs/>
        </w:rPr>
        <w:t>Opening buy fee:</w:t>
      </w:r>
      <w:r>
        <w:t xml:space="preserve"> the total buy fee starts at 99% and its extra part falls linearly to zero over 30 seconds, paid to the Programmable treasury. The launch wallet is exempt from that extra part only.</w:t>
      </w:r>
    </w:p>
    <w:p w14:paraId="2D18B114">
      <w:pPr>
        <w:pStyle w:val="18"/>
        <w:numPr>
          <w:ilvl w:val="0"/>
          <w:numId w:val="1"/>
        </w:numPr>
        <w:spacing w:after="80" w:line="290" w:lineRule="auto"/>
      </w:pPr>
      <w:r>
        <w:rPr>
          <w:b/>
          <w:bCs/>
        </w:rPr>
        <w:t>Caps:</w:t>
      </w:r>
      <w:r>
        <w:t xml:space="preserve"> for 300 seconds every wallet, the launch wallet included, can buy at most 2% and receive at most 2% of supply. Selling never refills the budget. After 300 seconds nothing limits transfers.</w:t>
      </w:r>
    </w:p>
    <w:p w14:paraId="4B754527">
      <w:pPr>
        <w:pStyle w:val="2"/>
      </w:pPr>
      <w:bookmarkStart w:id="9" w:name="_Toc32408"/>
      <w:r>
        <w:t>7. The Reclaim Vault</w:t>
      </w:r>
      <w:bookmarkEnd w:id="9"/>
    </w:p>
    <w:p w14:paraId="485E2841">
      <w:pPr>
        <w:spacing w:after="140" w:line="300" w:lineRule="auto"/>
      </w:pPr>
      <w:r>
        <w:t xml:space="preserve">Anyone can call the hook fee vault's </w:t>
      </w:r>
      <w:r>
        <w:rPr>
          <w:rFonts w:ascii="Consolas" w:hAnsi="Consolas" w:eastAsia="Consolas" w:cs="Consolas"/>
          <w:color w:val="6D28D9"/>
        </w:rPr>
        <w:t>claimCreator()</w:t>
      </w:r>
      <w:r>
        <w:t xml:space="preserve"> to push accrued creator fees (ETH) into the Reclaim Vault, and anyone can call </w:t>
      </w:r>
      <w:r>
        <w:rPr>
          <w:rFonts w:ascii="Consolas" w:hAnsi="Consolas" w:eastAsia="Consolas" w:cs="Consolas"/>
          <w:color w:val="6D28D9"/>
        </w:rPr>
        <w:t>distribute()</w:t>
      </w:r>
      <w:r>
        <w:t>. Every distribution splits the vault's new ETH in fixed shares that cannot change:</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3472"/>
        <w:gridCol w:w="4862"/>
      </w:tblGrid>
      <w:tr w14:paraId="0219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97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0BEA9DAD">
            <w:pPr>
              <w:spacing w:after="0" w:line="270" w:lineRule="auto"/>
            </w:pPr>
            <w:r>
              <w:rPr>
                <w:b/>
                <w:bCs/>
                <w:color w:val="FFFFFF"/>
                <w:sz w:val="18"/>
                <w:szCs w:val="18"/>
              </w:rPr>
              <w:t>Share</w:t>
            </w:r>
          </w:p>
        </w:tc>
        <w:tc>
          <w:tcPr>
            <w:tcW w:w="347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4D25D9BE">
            <w:pPr>
              <w:spacing w:after="0" w:line="270" w:lineRule="auto"/>
            </w:pPr>
            <w:r>
              <w:rPr>
                <w:b/>
                <w:bCs/>
                <w:color w:val="FFFFFF"/>
                <w:sz w:val="18"/>
                <w:szCs w:val="18"/>
              </w:rPr>
              <w:t>Goes to</w:t>
            </w:r>
          </w:p>
        </w:tc>
        <w:tc>
          <w:tcPr>
            <w:tcW w:w="486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4B857AA4">
            <w:pPr>
              <w:spacing w:after="0" w:line="270" w:lineRule="auto"/>
            </w:pPr>
            <w:r>
              <w:rPr>
                <w:b/>
                <w:bCs/>
                <w:color w:val="FFFFFF"/>
                <w:sz w:val="18"/>
                <w:szCs w:val="18"/>
              </w:rPr>
              <w:t>Purpose</w:t>
            </w:r>
          </w:p>
        </w:tc>
      </w:tr>
      <w:tr w14:paraId="2253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7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17FF2CC">
            <w:pPr>
              <w:spacing w:after="0" w:line="270" w:lineRule="auto"/>
            </w:pPr>
            <w:r>
              <w:rPr>
                <w:sz w:val="18"/>
                <w:szCs w:val="18"/>
              </w:rPr>
              <w:t>80%</w:t>
            </w:r>
          </w:p>
        </w:tc>
        <w:tc>
          <w:tcPr>
            <w:tcW w:w="347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9609FBE">
            <w:pPr>
              <w:spacing w:after="0" w:line="270" w:lineRule="auto"/>
            </w:pPr>
            <w:r>
              <w:rPr>
                <w:sz w:val="18"/>
                <w:szCs w:val="18"/>
              </w:rPr>
              <w:t>Project treasury wallet</w:t>
            </w:r>
          </w:p>
        </w:tc>
        <w:tc>
          <w:tcPr>
            <w:tcW w:w="486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66C02479">
            <w:pPr>
              <w:spacing w:after="0" w:line="270" w:lineRule="auto"/>
            </w:pPr>
            <w:r>
              <w:rPr>
                <w:sz w:val="18"/>
                <w:szCs w:val="18"/>
              </w:rPr>
              <w:t>Free for the team to use: development, operations, pilot Points, marketing and audits</w:t>
            </w:r>
          </w:p>
        </w:tc>
      </w:tr>
      <w:tr w14:paraId="4FA6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7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5430A9E3">
            <w:pPr>
              <w:spacing w:after="0" w:line="270" w:lineRule="auto"/>
            </w:pPr>
            <w:r>
              <w:rPr>
                <w:sz w:val="18"/>
                <w:szCs w:val="18"/>
              </w:rPr>
              <w:t>20%</w:t>
            </w:r>
          </w:p>
        </w:tc>
        <w:tc>
          <w:tcPr>
            <w:tcW w:w="347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DFA1B78">
            <w:pPr>
              <w:spacing w:after="0" w:line="270" w:lineRule="auto"/>
            </w:pPr>
            <w:r>
              <w:rPr>
                <w:sz w:val="18"/>
                <w:szCs w:val="18"/>
              </w:rPr>
              <w:t>Recycling Rewards pool, kept in the vault</w:t>
            </w:r>
          </w:p>
        </w:tc>
        <w:tc>
          <w:tcPr>
            <w:tcW w:w="486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764F461">
            <w:pPr>
              <w:spacing w:after="0" w:line="270" w:lineRule="auto"/>
            </w:pPr>
            <w:r>
              <w:rPr>
                <w:sz w:val="18"/>
                <w:szCs w:val="18"/>
              </w:rPr>
              <w:t>Paid to collectors and Point operators only through the Recycling Ledger</w:t>
            </w:r>
          </w:p>
        </w:tc>
      </w:tr>
    </w:tbl>
    <w:p w14:paraId="2F94E82A">
      <w:pPr>
        <w:spacing w:after="120"/>
      </w:pPr>
    </w:p>
    <w:p w14:paraId="48C83E87">
      <w:pPr>
        <w:pStyle w:val="3"/>
      </w:pPr>
      <w:bookmarkStart w:id="10" w:name="_Toc9365"/>
      <w:r>
        <w:t>7.1 Powers and limits</w:t>
      </w:r>
      <w:bookmarkEnd w:id="10"/>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2"/>
        <w:gridCol w:w="3932"/>
        <w:gridCol w:w="3932"/>
      </w:tblGrid>
      <w:tr w14:paraId="4AF9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4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2B9FCB81">
            <w:pPr>
              <w:spacing w:after="0" w:line="270" w:lineRule="auto"/>
            </w:pPr>
            <w:r>
              <w:rPr>
                <w:b/>
                <w:bCs/>
                <w:color w:val="FFFFFF"/>
                <w:sz w:val="18"/>
                <w:szCs w:val="18"/>
              </w:rPr>
              <w:t>Actor</w:t>
            </w:r>
          </w:p>
        </w:tc>
        <w:tc>
          <w:tcPr>
            <w:tcW w:w="393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0E327AB9">
            <w:pPr>
              <w:spacing w:after="0" w:line="270" w:lineRule="auto"/>
            </w:pPr>
            <w:r>
              <w:rPr>
                <w:b/>
                <w:bCs/>
                <w:color w:val="FFFFFF"/>
                <w:sz w:val="18"/>
                <w:szCs w:val="18"/>
              </w:rPr>
              <w:t>Can</w:t>
            </w:r>
          </w:p>
        </w:tc>
        <w:tc>
          <w:tcPr>
            <w:tcW w:w="393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255BE1EF">
            <w:pPr>
              <w:spacing w:after="0" w:line="270" w:lineRule="auto"/>
            </w:pPr>
            <w:r>
              <w:rPr>
                <w:b/>
                <w:bCs/>
                <w:color w:val="FFFFFF"/>
                <w:sz w:val="18"/>
                <w:szCs w:val="18"/>
              </w:rPr>
              <w:t>Cannot</w:t>
            </w:r>
          </w:p>
        </w:tc>
      </w:tr>
      <w:tr w14:paraId="067E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4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E4D433A">
            <w:pPr>
              <w:spacing w:after="0" w:line="270" w:lineRule="auto"/>
            </w:pPr>
            <w:r>
              <w:rPr>
                <w:sz w:val="18"/>
                <w:szCs w:val="18"/>
              </w:rPr>
              <w:t>Anyone</w:t>
            </w:r>
          </w:p>
        </w:tc>
        <w:tc>
          <w:tcPr>
            <w:tcW w:w="393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663E56C">
            <w:pPr>
              <w:spacing w:after="0" w:line="270" w:lineRule="auto"/>
            </w:pPr>
            <w:r>
              <w:rPr>
                <w:sz w:val="18"/>
                <w:szCs w:val="18"/>
              </w:rPr>
              <w:t>Claim creator fees into the vault; call distribute()</w:t>
            </w:r>
          </w:p>
        </w:tc>
        <w:tc>
          <w:tcPr>
            <w:tcW w:w="393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02171C7">
            <w:pPr>
              <w:spacing w:after="0" w:line="270" w:lineRule="auto"/>
            </w:pPr>
            <w:r>
              <w:rPr>
                <w:sz w:val="18"/>
                <w:szCs w:val="18"/>
              </w:rPr>
              <w:t>Move any vault ETH elsewhere</w:t>
            </w:r>
          </w:p>
        </w:tc>
      </w:tr>
      <w:tr w14:paraId="790C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4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B00D06B">
            <w:pPr>
              <w:spacing w:after="0" w:line="270" w:lineRule="auto"/>
            </w:pPr>
            <w:r>
              <w:rPr>
                <w:sz w:val="18"/>
                <w:szCs w:val="18"/>
              </w:rPr>
              <w:t>Attester</w:t>
            </w:r>
          </w:p>
        </w:tc>
        <w:tc>
          <w:tcPr>
            <w:tcW w:w="393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33B83B75">
            <w:pPr>
              <w:spacing w:after="0" w:line="270" w:lineRule="auto"/>
            </w:pPr>
            <w:r>
              <w:rPr>
                <w:sz w:val="18"/>
                <w:szCs w:val="18"/>
              </w:rPr>
              <w:t>Record batches in the Recycling Ledger</w:t>
            </w:r>
          </w:p>
        </w:tc>
        <w:tc>
          <w:tcPr>
            <w:tcW w:w="393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4BAE426E">
            <w:pPr>
              <w:spacing w:after="0" w:line="270" w:lineRule="auto"/>
            </w:pPr>
            <w:r>
              <w:rPr>
                <w:sz w:val="18"/>
                <w:szCs w:val="18"/>
              </w:rPr>
              <w:t>Pay rewards; record the same batch id twice</w:t>
            </w:r>
          </w:p>
        </w:tc>
      </w:tr>
      <w:tr w14:paraId="04E8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4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AE2FD97">
            <w:pPr>
              <w:spacing w:after="0" w:line="270" w:lineRule="auto"/>
            </w:pPr>
            <w:r>
              <w:rPr>
                <w:sz w:val="18"/>
                <w:szCs w:val="18"/>
              </w:rPr>
              <w:t>Guardian</w:t>
            </w:r>
          </w:p>
        </w:tc>
        <w:tc>
          <w:tcPr>
            <w:tcW w:w="393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0E07477">
            <w:pPr>
              <w:spacing w:after="0" w:line="270" w:lineRule="auto"/>
            </w:pPr>
            <w:r>
              <w:rPr>
                <w:sz w:val="18"/>
                <w:szCs w:val="18"/>
              </w:rPr>
              <w:t>Void a batch before it is paid; pay rewards within the review and cap rules; change the treasury wallet, the attester, the reward cap or itself only after a 48-hour public timelock</w:t>
            </w:r>
          </w:p>
        </w:tc>
        <w:tc>
          <w:tcPr>
            <w:tcW w:w="393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06D2F36">
            <w:pPr>
              <w:spacing w:after="0" w:line="270" w:lineRule="auto"/>
            </w:pPr>
            <w:r>
              <w:rPr>
                <w:sz w:val="18"/>
                <w:szCs w:val="18"/>
              </w:rPr>
              <w:t>Change the 80/20 shares; raise the cap above 0.001 ETH/kg; take rewards-pool ETH without a reviewed batch; change any fee, the pool or its liquidity; mint; pause trading</w:t>
            </w:r>
          </w:p>
        </w:tc>
      </w:tr>
    </w:tbl>
    <w:p w14:paraId="1548679F">
      <w:pPr>
        <w:spacing w:after="120"/>
      </w:pPr>
    </w:p>
    <w:p w14:paraId="21FDC393">
      <w:pPr>
        <w:spacing w:after="140" w:line="300" w:lineRule="auto"/>
      </w:pPr>
      <w:r>
        <w:t xml:space="preserve">There is </w:t>
      </w:r>
      <w:r>
        <w:rPr>
          <w:b/>
          <w:bCs/>
        </w:rPr>
        <w:t>no immediate exception</w:t>
      </w:r>
      <w:r>
        <w:t>: every change of the vault's roles or settings waits 48 hours and is visible on-chain first. Who holds each role at launch, and whether it is an ordinary wallet or a multisig, is stated in the Programmable launch request and on the ATOMYX website.</w:t>
      </w:r>
    </w:p>
    <w:p w14:paraId="197D2E1E">
      <w:pPr>
        <w:pStyle w:val="2"/>
      </w:pPr>
      <w:bookmarkStart w:id="11" w:name="_Toc11696"/>
      <w:r>
        <w:t>8. Ecosystem and participants</w:t>
      </w:r>
      <w:bookmarkEnd w:id="11"/>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3"/>
        <w:gridCol w:w="3472"/>
        <w:gridCol w:w="3751"/>
      </w:tblGrid>
      <w:tr w14:paraId="1CF1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083"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284CD370">
            <w:pPr>
              <w:spacing w:after="0" w:line="270" w:lineRule="auto"/>
            </w:pPr>
            <w:r>
              <w:rPr>
                <w:b/>
                <w:bCs/>
                <w:color w:val="FFFFFF"/>
                <w:sz w:val="18"/>
                <w:szCs w:val="18"/>
              </w:rPr>
              <w:t>Group</w:t>
            </w:r>
          </w:p>
        </w:tc>
        <w:tc>
          <w:tcPr>
            <w:tcW w:w="3472"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59247699">
            <w:pPr>
              <w:spacing w:after="0" w:line="270" w:lineRule="auto"/>
            </w:pPr>
            <w:r>
              <w:rPr>
                <w:b/>
                <w:bCs/>
                <w:color w:val="FFFFFF"/>
                <w:sz w:val="18"/>
                <w:szCs w:val="18"/>
              </w:rPr>
              <w:t>What they do</w:t>
            </w:r>
          </w:p>
        </w:tc>
        <w:tc>
          <w:tcPr>
            <w:tcW w:w="3751"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276E9AE0">
            <w:pPr>
              <w:spacing w:after="0" w:line="270" w:lineRule="auto"/>
            </w:pPr>
            <w:r>
              <w:rPr>
                <w:b/>
                <w:bCs/>
                <w:color w:val="FFFFFF"/>
                <w:sz w:val="18"/>
                <w:szCs w:val="18"/>
              </w:rPr>
              <w:t>What they get</w:t>
            </w:r>
          </w:p>
        </w:tc>
      </w:tr>
      <w:tr w14:paraId="07C9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8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324D3C0">
            <w:pPr>
              <w:spacing w:after="0" w:line="270" w:lineRule="auto"/>
            </w:pPr>
            <w:r>
              <w:rPr>
                <w:sz w:val="18"/>
                <w:szCs w:val="18"/>
              </w:rPr>
              <w:t>Residents</w:t>
            </w:r>
          </w:p>
        </w:tc>
        <w:tc>
          <w:tcPr>
            <w:tcW w:w="347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40E6DCC">
            <w:pPr>
              <w:spacing w:after="0" w:line="270" w:lineRule="auto"/>
            </w:pPr>
            <w:r>
              <w:rPr>
                <w:sz w:val="18"/>
                <w:szCs w:val="18"/>
              </w:rPr>
              <w:t>Sort at home and drop off at an ATOMYX Point</w:t>
            </w:r>
          </w:p>
        </w:tc>
        <w:tc>
          <w:tcPr>
            <w:tcW w:w="3751"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0674556">
            <w:pPr>
              <w:spacing w:after="0" w:line="270" w:lineRule="auto"/>
            </w:pPr>
            <w:r>
              <w:rPr>
                <w:sz w:val="18"/>
                <w:szCs w:val="18"/>
              </w:rPr>
              <w:t>ETH recycling rewards for recorded batches, with history in the app (once Points operate)</w:t>
            </w:r>
          </w:p>
        </w:tc>
      </w:tr>
      <w:tr w14:paraId="7FFA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83"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E4F3A47">
            <w:pPr>
              <w:spacing w:after="0" w:line="270" w:lineRule="auto"/>
            </w:pPr>
            <w:r>
              <w:rPr>
                <w:sz w:val="18"/>
                <w:szCs w:val="18"/>
              </w:rPr>
              <w:t>Independent collectors &amp; scrap yards</w:t>
            </w:r>
          </w:p>
        </w:tc>
        <w:tc>
          <w:tcPr>
            <w:tcW w:w="347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7355751">
            <w:pPr>
              <w:spacing w:after="0" w:line="270" w:lineRule="auto"/>
            </w:pPr>
            <w:r>
              <w:rPr>
                <w:sz w:val="18"/>
                <w:szCs w:val="18"/>
              </w:rPr>
              <w:t>Register in ATOMYX Collect and deliver to sorting stations</w:t>
            </w:r>
          </w:p>
        </w:tc>
        <w:tc>
          <w:tcPr>
            <w:tcW w:w="3751"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4C73334">
            <w:pPr>
              <w:spacing w:after="0" w:line="270" w:lineRule="auto"/>
            </w:pPr>
            <w:r>
              <w:rPr>
                <w:sz w:val="18"/>
                <w:szCs w:val="18"/>
              </w:rPr>
              <w:t>Material price plus ETH rewards per recorded batch, with income on record</w:t>
            </w:r>
          </w:p>
        </w:tc>
      </w:tr>
      <w:tr w14:paraId="22F0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8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02699DA">
            <w:pPr>
              <w:spacing w:after="0" w:line="270" w:lineRule="auto"/>
            </w:pPr>
            <w:r>
              <w:rPr>
                <w:sz w:val="18"/>
                <w:szCs w:val="18"/>
              </w:rPr>
              <w:t>Businesses &amp; brands</w:t>
            </w:r>
          </w:p>
        </w:tc>
        <w:tc>
          <w:tcPr>
            <w:tcW w:w="347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5A243E72">
            <w:pPr>
              <w:spacing w:after="0" w:line="270" w:lineRule="auto"/>
            </w:pPr>
            <w:r>
              <w:rPr>
                <w:sz w:val="18"/>
                <w:szCs w:val="18"/>
              </w:rPr>
              <w:t>Buy collection services and weight reports</w:t>
            </w:r>
          </w:p>
        </w:tc>
        <w:tc>
          <w:tcPr>
            <w:tcW w:w="3751"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C20EA45">
            <w:pPr>
              <w:spacing w:after="0" w:line="270" w:lineRule="auto"/>
            </w:pPr>
            <w:r>
              <w:rPr>
                <w:sz w:val="18"/>
                <w:szCs w:val="18"/>
              </w:rPr>
              <w:t>Verifiable data for ESG/CSRD reports and packaging EPR obligations</w:t>
            </w:r>
          </w:p>
        </w:tc>
      </w:tr>
      <w:tr w14:paraId="1421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83"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44103D5">
            <w:pPr>
              <w:spacing w:after="0" w:line="270" w:lineRule="auto"/>
            </w:pPr>
            <w:r>
              <w:rPr>
                <w:sz w:val="18"/>
                <w:szCs w:val="18"/>
              </w:rPr>
              <w:t>Operating partners</w:t>
            </w:r>
          </w:p>
        </w:tc>
        <w:tc>
          <w:tcPr>
            <w:tcW w:w="3472"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C3FECE3">
            <w:pPr>
              <w:spacing w:after="0" w:line="270" w:lineRule="auto"/>
            </w:pPr>
            <w:r>
              <w:rPr>
                <w:sz w:val="18"/>
                <w:szCs w:val="18"/>
              </w:rPr>
              <w:t>Run a Point</w:t>
            </w:r>
          </w:p>
        </w:tc>
        <w:tc>
          <w:tcPr>
            <w:tcW w:w="3751"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4C99D2A">
            <w:pPr>
              <w:spacing w:after="0" w:line="270" w:lineRule="auto"/>
            </w:pPr>
            <w:r>
              <w:rPr>
                <w:sz w:val="18"/>
                <w:szCs w:val="18"/>
              </w:rPr>
              <w:t>Operating fees and a share of material revenue</w:t>
            </w:r>
          </w:p>
        </w:tc>
      </w:tr>
      <w:tr w14:paraId="4D34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83"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B7AE357">
            <w:pPr>
              <w:spacing w:after="0" w:line="270" w:lineRule="auto"/>
            </w:pPr>
            <w:r>
              <w:rPr>
                <w:sz w:val="18"/>
                <w:szCs w:val="18"/>
              </w:rPr>
              <w:t>$ATMX holders</w:t>
            </w:r>
          </w:p>
        </w:tc>
        <w:tc>
          <w:tcPr>
            <w:tcW w:w="3472"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8EF2FA9">
            <w:pPr>
              <w:spacing w:after="0" w:line="270" w:lineRule="auto"/>
            </w:pPr>
            <w:r>
              <w:rPr>
                <w:sz w:val="18"/>
                <w:szCs w:val="18"/>
              </w:rPr>
              <w:t>Trade on the pool</w:t>
            </w:r>
          </w:p>
        </w:tc>
        <w:tc>
          <w:tcPr>
            <w:tcW w:w="3751"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B7D537D">
            <w:pPr>
              <w:spacing w:after="0" w:line="270" w:lineRule="auto"/>
            </w:pPr>
            <w:r>
              <w:rPr>
                <w:sz w:val="18"/>
                <w:szCs w:val="18"/>
              </w:rPr>
              <w:t>A fixed supply with no team, presale or airdrop allocation; planned governance</w:t>
            </w:r>
          </w:p>
        </w:tc>
      </w:tr>
    </w:tbl>
    <w:p w14:paraId="4C6B56F3">
      <w:pPr>
        <w:spacing w:after="120"/>
      </w:pPr>
    </w:p>
    <w:p w14:paraId="06FA2CCE">
      <w:pPr>
        <w:spacing w:after="140" w:line="300" w:lineRule="auto"/>
      </w:pPr>
      <w:r>
        <w:rPr>
          <w:b/>
          <w:bCs/>
        </w:rPr>
        <w:t>Public data:</w:t>
      </w:r>
      <w:r>
        <w:t xml:space="preserve"> anyone can read the Recycling Ledger on-chain: batches, grams by material, rewards paid and voided batches. The website will add a dashboard on top of it.</w:t>
      </w:r>
    </w:p>
    <w:p w14:paraId="6694699A">
      <w:pPr>
        <w:pStyle w:val="2"/>
      </w:pPr>
      <w:bookmarkStart w:id="12" w:name="_Toc5472"/>
      <w:r>
        <w:t>9. Roadmap</w:t>
      </w:r>
      <w:bookmarkEnd w:id="12"/>
    </w:p>
    <w:p w14:paraId="36388F10">
      <w:pPr>
        <w:spacing w:after="140" w:line="300" w:lineRule="auto"/>
      </w:pPr>
      <w:r>
        <w:t>Timelines are targets and depend on funding, permits and partners.</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1779"/>
        <w:gridCol w:w="5748"/>
      </w:tblGrid>
      <w:tr w14:paraId="307E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79"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107B6067">
            <w:pPr>
              <w:spacing w:after="0" w:line="270" w:lineRule="auto"/>
            </w:pPr>
            <w:r>
              <w:rPr>
                <w:b/>
                <w:bCs/>
                <w:color w:val="FFFFFF"/>
                <w:sz w:val="18"/>
                <w:szCs w:val="18"/>
              </w:rPr>
              <w:t>Phase</w:t>
            </w:r>
          </w:p>
        </w:tc>
        <w:tc>
          <w:tcPr>
            <w:tcW w:w="1779"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13F57354">
            <w:pPr>
              <w:spacing w:after="0" w:line="270" w:lineRule="auto"/>
            </w:pPr>
            <w:r>
              <w:rPr>
                <w:b/>
                <w:bCs/>
                <w:color w:val="FFFFFF"/>
                <w:sz w:val="18"/>
                <w:szCs w:val="18"/>
              </w:rPr>
              <w:t>Timing</w:t>
            </w:r>
          </w:p>
        </w:tc>
        <w:tc>
          <w:tcPr>
            <w:tcW w:w="5748"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4E4E8D3C">
            <w:pPr>
              <w:spacing w:after="0" w:line="270" w:lineRule="auto"/>
            </w:pPr>
            <w:r>
              <w:rPr>
                <w:b/>
                <w:bCs/>
                <w:color w:val="FFFFFF"/>
                <w:sz w:val="18"/>
                <w:szCs w:val="18"/>
              </w:rPr>
              <w:t>Deliverables</w:t>
            </w:r>
          </w:p>
        </w:tc>
      </w:tr>
      <w:tr w14:paraId="44A1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78DA42B">
            <w:pPr>
              <w:spacing w:after="0" w:line="270" w:lineRule="auto"/>
            </w:pPr>
            <w:r>
              <w:rPr>
                <w:sz w:val="18"/>
                <w:szCs w:val="18"/>
              </w:rPr>
              <w:t>0 · Launch</w:t>
            </w:r>
          </w:p>
        </w:tc>
        <w:tc>
          <w:tcPr>
            <w:tcW w:w="17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1BEA882">
            <w:pPr>
              <w:spacing w:after="0" w:line="270" w:lineRule="auto"/>
            </w:pPr>
            <w:r>
              <w:rPr>
                <w:sz w:val="18"/>
                <w:szCs w:val="18"/>
              </w:rPr>
              <w:t>Launch</w:t>
            </w:r>
          </w:p>
        </w:tc>
        <w:tc>
          <w:tcPr>
            <w:tcW w:w="574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2D644AEC">
            <w:pPr>
              <w:spacing w:after="0" w:line="270" w:lineRule="auto"/>
            </w:pPr>
            <w:r>
              <w:rPr>
                <w:sz w:val="18"/>
                <w:szCs w:val="18"/>
              </w:rPr>
              <w:t>Protected fair launch on Programmable; Reclaim Vault and Recycling Ledger live; ATOMYX Collect beta</w:t>
            </w:r>
          </w:p>
        </w:tc>
      </w:tr>
      <w:tr w14:paraId="51E50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79"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298C9C5">
            <w:pPr>
              <w:spacing w:after="0" w:line="270" w:lineRule="auto"/>
            </w:pPr>
            <w:r>
              <w:rPr>
                <w:sz w:val="18"/>
                <w:szCs w:val="18"/>
              </w:rPr>
              <w:t>1 · Foundation</w:t>
            </w:r>
          </w:p>
        </w:tc>
        <w:tc>
          <w:tcPr>
            <w:tcW w:w="1779"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FA00CEB">
            <w:pPr>
              <w:spacing w:after="0" w:line="270" w:lineRule="auto"/>
            </w:pPr>
            <w:r>
              <w:rPr>
                <w:sz w:val="18"/>
                <w:szCs w:val="18"/>
              </w:rPr>
              <w:t>Months 0 to 6</w:t>
            </w:r>
          </w:p>
        </w:tc>
        <w:tc>
          <w:tcPr>
            <w:tcW w:w="5748"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2B16F4C9">
            <w:pPr>
              <w:spacing w:after="0" w:line="270" w:lineRule="auto"/>
            </w:pPr>
            <w:r>
              <w:rPr>
                <w:sz w:val="18"/>
                <w:szCs w:val="18"/>
              </w:rPr>
              <w:t>Legal setup in the US and EU; ATOMYX Collect v1; agreements with 1 or 2 US recycling partners; 3 to 5 pilot Points in one US city; first batches recorded</w:t>
            </w:r>
          </w:p>
        </w:tc>
      </w:tr>
      <w:tr w14:paraId="7DA6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998EC1A">
            <w:pPr>
              <w:spacing w:after="0" w:line="270" w:lineRule="auto"/>
            </w:pPr>
            <w:r>
              <w:rPr>
                <w:sz w:val="18"/>
                <w:szCs w:val="18"/>
              </w:rPr>
              <w:t>2 · Pilot</w:t>
            </w:r>
          </w:p>
        </w:tc>
        <w:tc>
          <w:tcPr>
            <w:tcW w:w="17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7B864BB">
            <w:pPr>
              <w:spacing w:after="0" w:line="270" w:lineRule="auto"/>
            </w:pPr>
            <w:r>
              <w:rPr>
                <w:sz w:val="18"/>
                <w:szCs w:val="18"/>
              </w:rPr>
              <w:t>Months 6 to 12</w:t>
            </w:r>
          </w:p>
        </w:tc>
        <w:tc>
          <w:tcPr>
            <w:tcW w:w="574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F0A358B">
            <w:pPr>
              <w:spacing w:after="0" w:line="270" w:lineRule="auto"/>
            </w:pPr>
            <w:r>
              <w:rPr>
                <w:sz w:val="18"/>
                <w:szCs w:val="18"/>
              </w:rPr>
              <w:t>First sorting station with AI cameras, 5 to 10 tonnes a day; first independent data audit; recycling rewards paid where legally permitted</w:t>
            </w:r>
          </w:p>
        </w:tc>
      </w:tr>
      <w:tr w14:paraId="2857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79"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AC6F7C3">
            <w:pPr>
              <w:spacing w:after="0" w:line="270" w:lineRule="auto"/>
            </w:pPr>
            <w:r>
              <w:rPr>
                <w:sz w:val="18"/>
                <w:szCs w:val="18"/>
              </w:rPr>
              <w:t>3 · Scale</w:t>
            </w:r>
          </w:p>
        </w:tc>
        <w:tc>
          <w:tcPr>
            <w:tcW w:w="1779"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55DF72C0">
            <w:pPr>
              <w:spacing w:after="0" w:line="270" w:lineRule="auto"/>
            </w:pPr>
            <w:r>
              <w:rPr>
                <w:sz w:val="18"/>
                <w:szCs w:val="18"/>
              </w:rPr>
              <w:t>Months 12 to 24</w:t>
            </w:r>
          </w:p>
        </w:tc>
        <w:tc>
          <w:tcPr>
            <w:tcW w:w="5748"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31EBA909">
            <w:pPr>
              <w:spacing w:after="0" w:line="270" w:lineRule="auto"/>
            </w:pPr>
            <w:r>
              <w:rPr>
                <w:sz w:val="18"/>
                <w:szCs w:val="18"/>
              </w:rPr>
              <w:t>50+ Points across 2 or 3 cities in the US and the EU; Verra Plastic Program filing; reporting service for EPR and CSRD</w:t>
            </w:r>
          </w:p>
        </w:tc>
      </w:tr>
      <w:tr w14:paraId="1D9F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24777A6">
            <w:pPr>
              <w:spacing w:after="0" w:line="270" w:lineRule="auto"/>
            </w:pPr>
            <w:r>
              <w:rPr>
                <w:sz w:val="18"/>
                <w:szCs w:val="18"/>
              </w:rPr>
              <w:t>4 · Expansion</w:t>
            </w:r>
          </w:p>
        </w:tc>
        <w:tc>
          <w:tcPr>
            <w:tcW w:w="1779"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217C57F">
            <w:pPr>
              <w:spacing w:after="0" w:line="270" w:lineRule="auto"/>
            </w:pPr>
            <w:r>
              <w:rPr>
                <w:sz w:val="18"/>
                <w:szCs w:val="18"/>
              </w:rPr>
              <w:t>Month 24+</w:t>
            </w:r>
          </w:p>
        </w:tc>
        <w:tc>
          <w:tcPr>
            <w:tcW w:w="5748"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52DABFB">
            <w:pPr>
              <w:spacing w:after="0" w:line="270" w:lineRule="auto"/>
            </w:pPr>
            <w:r>
              <w:rPr>
                <w:sz w:val="18"/>
                <w:szCs w:val="18"/>
              </w:rPr>
              <w:t>Franchised Points across the US and Europe; operator staking and governance contracts; e-waste recovery under EU WEEE rules and US state programs</w:t>
            </w:r>
          </w:p>
        </w:tc>
      </w:tr>
    </w:tbl>
    <w:p w14:paraId="485D6654">
      <w:pPr>
        <w:spacing w:after="120"/>
      </w:pPr>
    </w:p>
    <w:p w14:paraId="05DDAE63">
      <w:pPr>
        <w:spacing w:after="140" w:line="300" w:lineRule="auto"/>
      </w:pPr>
      <w:r>
        <w:t>To be announced as each phase starts: the pilot city, the names of recycling partners, team information and the legal entities.</w:t>
      </w:r>
    </w:p>
    <w:p w14:paraId="3F2C05E5">
      <w:pPr>
        <w:pStyle w:val="2"/>
      </w:pPr>
      <w:bookmarkStart w:id="13" w:name="_Toc14521"/>
      <w:r>
        <w:t>10. Brand identity and community</w:t>
      </w:r>
      <w:bookmarkEnd w:id="13"/>
    </w:p>
    <w:p w14:paraId="742F3D66">
      <w:pPr>
        <w:pStyle w:val="18"/>
        <w:numPr>
          <w:ilvl w:val="0"/>
          <w:numId w:val="1"/>
        </w:numPr>
        <w:spacing w:after="80" w:line="290" w:lineRule="auto"/>
      </w:pPr>
      <w:r>
        <w:rPr>
          <w:b/>
          <w:bCs/>
        </w:rPr>
        <w:t>Logo:</w:t>
      </w:r>
      <w:r>
        <w:t xml:space="preserve"> an atom whose nucleus is a small cube of waste breaking up into glowing particles.</w:t>
      </w:r>
    </w:p>
    <w:p w14:paraId="00271016">
      <w:pPr>
        <w:pStyle w:val="18"/>
        <w:numPr>
          <w:ilvl w:val="0"/>
          <w:numId w:val="1"/>
        </w:numPr>
        <w:spacing w:after="80" w:line="290" w:lineRule="auto"/>
      </w:pPr>
      <w:r>
        <w:rPr>
          <w:b/>
          <w:bCs/>
        </w:rPr>
        <w:t>Colors:</w:t>
      </w:r>
      <w:r>
        <w:t xml:space="preserve"> charcoal, electric violet and neon green on a dark background.</w:t>
      </w:r>
    </w:p>
    <w:p w14:paraId="55DF035B">
      <w:pPr>
        <w:pStyle w:val="18"/>
        <w:numPr>
          <w:ilvl w:val="0"/>
          <w:numId w:val="1"/>
        </w:numPr>
        <w:spacing w:after="80" w:line="290" w:lineRule="auto"/>
      </w:pPr>
      <w:r>
        <w:rPr>
          <w:b/>
          <w:bCs/>
        </w:rPr>
        <w:t>Mascot:</w:t>
      </w:r>
      <w:r>
        <w:t xml:space="preserve"> "Atom", a small sorting robot, the face of the ATOMYX Sort stations.</w:t>
      </w:r>
    </w:p>
    <w:p w14:paraId="250CEEE9">
      <w:pPr>
        <w:pStyle w:val="18"/>
        <w:numPr>
          <w:ilvl w:val="0"/>
          <w:numId w:val="1"/>
        </w:numPr>
        <w:spacing w:after="80" w:line="290" w:lineRule="auto"/>
      </w:pPr>
      <w:r>
        <w:rPr>
          <w:b/>
          <w:bCs/>
        </w:rPr>
        <w:t>Community:</w:t>
      </w:r>
      <w:r>
        <w:t xml:space="preserve"> The Reclaimers, the people taking the planet back. Hashtag #AtomizeTheWaste.</w:t>
      </w:r>
    </w:p>
    <w:p w14:paraId="7A02A72E">
      <w:pPr>
        <w:pStyle w:val="18"/>
        <w:numPr>
          <w:ilvl w:val="0"/>
          <w:numId w:val="1"/>
        </w:numPr>
        <w:spacing w:after="80" w:line="290" w:lineRule="auto"/>
      </w:pPr>
      <w:r>
        <w:rPr>
          <w:b/>
          <w:bCs/>
        </w:rPr>
        <w:t>Activities:</w:t>
      </w:r>
      <w:r>
        <w:t xml:space="preserve"> monthly clean-up challenges and meme contests featuring Atom, funded from the project treasury and announced publicly. There are no token airdrops: no $ATMX exists outside the pool to give away.</w:t>
      </w:r>
    </w:p>
    <w:p w14:paraId="7D953BED">
      <w:pPr>
        <w:pStyle w:val="2"/>
      </w:pPr>
      <w:bookmarkStart w:id="14" w:name="_Toc21794"/>
      <w:r>
        <w:t>11. Security model and honest limits</w:t>
      </w:r>
      <w:bookmarkEnd w:id="14"/>
    </w:p>
    <w:p w14:paraId="3B302490">
      <w:pPr>
        <w:pStyle w:val="18"/>
        <w:numPr>
          <w:ilvl w:val="0"/>
          <w:numId w:val="1"/>
        </w:numPr>
        <w:spacing w:after="80" w:line="290" w:lineRule="auto"/>
      </w:pPr>
      <w:r>
        <w:rPr>
          <w:b/>
          <w:bCs/>
        </w:rPr>
        <w:t>Launch contracts:</w:t>
      </w:r>
      <w:r>
        <w:t xml:space="preserve"> Programmable's sealed launch-protection package and the Reclaim Vault, with exact source published and tested on an Ethereum mainnet fork, including all twelve protection scenarios.</w:t>
      </w:r>
    </w:p>
    <w:p w14:paraId="663073C7">
      <w:pPr>
        <w:pStyle w:val="18"/>
        <w:numPr>
          <w:ilvl w:val="0"/>
          <w:numId w:val="1"/>
        </w:numPr>
        <w:spacing w:after="80" w:line="290" w:lineRule="auto"/>
      </w:pPr>
      <w:r>
        <w:rPr>
          <w:b/>
          <w:bCs/>
        </w:rPr>
        <w:t>Attester trust:</w:t>
      </w:r>
      <w:r>
        <w:t xml:space="preserve"> the ledger records claims; public evidence, the 24-hour review, the cap per kilogram and voiding limit the damage of a wrong record, but do not remove the need to trust the attester.</w:t>
      </w:r>
    </w:p>
    <w:p w14:paraId="36BFF28D">
      <w:pPr>
        <w:pStyle w:val="18"/>
        <w:numPr>
          <w:ilvl w:val="0"/>
          <w:numId w:val="1"/>
        </w:numPr>
        <w:spacing w:after="80" w:line="290" w:lineRule="auto"/>
      </w:pPr>
      <w:r>
        <w:rPr>
          <w:b/>
          <w:bCs/>
        </w:rPr>
        <w:t>Role holders:</w:t>
      </w:r>
      <w:r>
        <w:t xml:space="preserve"> the guardian and attester are named in the launch request. If one ordinary wallet holds them, a lost or stolen key affects every role; any change still waits 48 hours.</w:t>
      </w:r>
    </w:p>
    <w:p w14:paraId="799824D7">
      <w:pPr>
        <w:pStyle w:val="18"/>
        <w:numPr>
          <w:ilvl w:val="0"/>
          <w:numId w:val="1"/>
        </w:numPr>
        <w:spacing w:after="80" w:line="290" w:lineRule="auto"/>
      </w:pPr>
      <w:r>
        <w:rPr>
          <w:b/>
          <w:bCs/>
        </w:rPr>
        <w:t>Manual steps:</w:t>
      </w:r>
      <w:r>
        <w:t xml:space="preserve"> treasury spending is decided by the team, and recycling rewards are paid by the guardian within the vault rules; no contract trades at a market price by itself.</w:t>
      </w:r>
    </w:p>
    <w:p w14:paraId="74AD8861">
      <w:pPr>
        <w:pStyle w:val="2"/>
      </w:pPr>
      <w:bookmarkStart w:id="15" w:name="_Toc27518"/>
      <w:r>
        <w:t>12. Risks and legal notice</w:t>
      </w:r>
      <w:bookmarkEnd w:id="15"/>
    </w:p>
    <w:p w14:paraId="0457C856">
      <w:pPr>
        <w:pStyle w:val="18"/>
        <w:numPr>
          <w:ilvl w:val="0"/>
          <w:numId w:val="1"/>
        </w:numPr>
        <w:spacing w:after="80" w:line="290" w:lineRule="auto"/>
      </w:pPr>
      <w:r>
        <w:rPr>
          <w:b/>
          <w:bCs/>
        </w:rPr>
        <w:t>Legal:</w:t>
      </w:r>
      <w:r>
        <w:t xml:space="preserve"> token rules differ in the US and in each EU member state. ATOMYX will obtain legal advice on US federal and state rules and on the EU Markets in Crypto-Assets Regulation (MiCA), and may restrict access in some jurisdictions.</w:t>
      </w:r>
    </w:p>
    <w:p w14:paraId="1E2D69BF">
      <w:pPr>
        <w:pStyle w:val="18"/>
        <w:numPr>
          <w:ilvl w:val="0"/>
          <w:numId w:val="1"/>
        </w:numPr>
        <w:spacing w:after="80" w:line="290" w:lineRule="auto"/>
      </w:pPr>
      <w:r>
        <w:rPr>
          <w:b/>
          <w:bCs/>
        </w:rPr>
        <w:t>Operations:</w:t>
      </w:r>
      <w:r>
        <w:t xml:space="preserve"> the project depends on recycling partners, permits and recycled material prices, which change with the market.</w:t>
      </w:r>
    </w:p>
    <w:p w14:paraId="46592188">
      <w:pPr>
        <w:pStyle w:val="18"/>
        <w:numPr>
          <w:ilvl w:val="0"/>
          <w:numId w:val="1"/>
        </w:numPr>
        <w:spacing w:after="80" w:line="290" w:lineRule="auto"/>
      </w:pPr>
      <w:r>
        <w:rPr>
          <w:b/>
          <w:bCs/>
        </w:rPr>
        <w:t>Data:</w:t>
      </w:r>
      <w:r>
        <w:t xml:space="preserve"> false weights at drop-off points are a risk. Three-point matching, the review period, voiding and independent audits reduce it.</w:t>
      </w:r>
    </w:p>
    <w:p w14:paraId="734B661D">
      <w:pPr>
        <w:pStyle w:val="18"/>
        <w:numPr>
          <w:ilvl w:val="0"/>
          <w:numId w:val="1"/>
        </w:numPr>
        <w:spacing w:after="80" w:line="290" w:lineRule="auto"/>
      </w:pPr>
      <w:r>
        <w:rPr>
          <w:b/>
          <w:bCs/>
        </w:rPr>
        <w:t>Certification:</w:t>
      </w:r>
      <w:r>
        <w:t xml:space="preserve"> a Verra Plastic Program filing is not guaranteed to be approved.</w:t>
      </w:r>
    </w:p>
    <w:p w14:paraId="7AB2062F">
      <w:pPr>
        <w:pStyle w:val="18"/>
        <w:numPr>
          <w:ilvl w:val="0"/>
          <w:numId w:val="1"/>
        </w:numPr>
        <w:spacing w:after="80" w:line="290" w:lineRule="auto"/>
      </w:pPr>
      <w:r>
        <w:rPr>
          <w:b/>
          <w:bCs/>
        </w:rPr>
        <w:t>Platform and trading:</w:t>
      </w:r>
      <w:r>
        <w:t xml:space="preserve"> the launch depends on Programmable's review, router and indexing. Buys in the first 30 seconds pay up to 99% in fees.</w:t>
      </w:r>
    </w:p>
    <w:p w14:paraId="3259C1CE">
      <w:pPr>
        <w:pStyle w:val="18"/>
        <w:numPr>
          <w:ilvl w:val="0"/>
          <w:numId w:val="1"/>
        </w:numPr>
        <w:spacing w:after="80" w:line="290" w:lineRule="auto"/>
      </w:pPr>
      <w:r>
        <w:rPr>
          <w:b/>
          <w:bCs/>
        </w:rPr>
        <w:t>Fees:</w:t>
      </w:r>
      <w:r>
        <w:t xml:space="preserve"> vault income depends entirely on trading volume and is never guaranteed.</w:t>
      </w:r>
    </w:p>
    <w:p w14:paraId="6710DB44">
      <w:pPr>
        <w:pStyle w:val="18"/>
        <w:numPr>
          <w:ilvl w:val="0"/>
          <w:numId w:val="1"/>
        </w:numPr>
        <w:spacing w:after="80" w:line="290" w:lineRule="auto"/>
      </w:pPr>
      <w:r>
        <w:rPr>
          <w:b/>
          <w:bCs/>
        </w:rPr>
        <w:t>Market:</w:t>
      </w:r>
      <w:r>
        <w:t xml:space="preserve"> the price of $ATMX may be volatile and holders may lose part or all of its value.</w:t>
      </w:r>
    </w:p>
    <w:p w14:paraId="1E004139">
      <w:pPr>
        <w:spacing w:after="140" w:line="300" w:lineRule="auto"/>
      </w:pPr>
      <w:r>
        <w:rPr>
          <w:color w:val="5E6270"/>
        </w:rPr>
        <w:t>This document describes planned technology. It is not an offer to sell or a solicitation to buy any security, and nothing in it is investment, legal or tax advice. All figures and timelines are subject to change.</w:t>
      </w:r>
    </w:p>
    <w:p w14:paraId="2F0352BC">
      <w:pPr>
        <w:pStyle w:val="3"/>
      </w:pPr>
      <w:bookmarkStart w:id="16" w:name="_Toc10453"/>
      <w:r>
        <w:t>Sources</w:t>
      </w:r>
      <w:bookmarkEnd w:id="16"/>
    </w:p>
    <w:p w14:paraId="6044E267">
      <w:pPr>
        <w:pStyle w:val="18"/>
        <w:numPr>
          <w:ilvl w:val="0"/>
          <w:numId w:val="1"/>
        </w:numPr>
        <w:spacing w:after="80" w:line="290" w:lineRule="auto"/>
      </w:pPr>
      <w:r>
        <w:t>US EPA: National Overview: Facts and Figures on Materials, Wastes and Recycling</w:t>
      </w:r>
    </w:p>
    <w:p w14:paraId="1A022C89">
      <w:pPr>
        <w:pStyle w:val="18"/>
        <w:numPr>
          <w:ilvl w:val="0"/>
          <w:numId w:val="1"/>
        </w:numPr>
        <w:spacing w:after="80" w:line="290" w:lineRule="auto"/>
      </w:pPr>
      <w:r>
        <w:t>Eurostat: 41% of plastic packaging waste recycled in 2022</w:t>
      </w:r>
    </w:p>
    <w:p w14:paraId="222B853D">
      <w:pPr>
        <w:pStyle w:val="18"/>
        <w:numPr>
          <w:ilvl w:val="0"/>
          <w:numId w:val="1"/>
        </w:numPr>
        <w:spacing w:after="80" w:line="290" w:lineRule="auto"/>
      </w:pPr>
      <w:r>
        <w:t>Verra: Plastic Waste Reduction Program</w:t>
      </w:r>
    </w:p>
    <w:p w14:paraId="450382F1">
      <w:r>
        <w:br w:type="page"/>
      </w:r>
    </w:p>
    <w:p w14:paraId="3EFD1003">
      <w:pPr>
        <w:pStyle w:val="2"/>
      </w:pPr>
      <w:bookmarkStart w:id="17" w:name="_Toc26112"/>
      <w:r>
        <w:t>Appendix A. Launch parameters</w:t>
      </w:r>
      <w:bookmarkEnd w:id="17"/>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6"/>
        <w:gridCol w:w="6700"/>
      </w:tblGrid>
      <w:tr w14:paraId="4142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06"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04825ECB">
            <w:pPr>
              <w:spacing w:after="0" w:line="270" w:lineRule="auto"/>
            </w:pPr>
            <w:r>
              <w:rPr>
                <w:b/>
                <w:bCs/>
                <w:color w:val="FFFFFF"/>
                <w:sz w:val="18"/>
                <w:szCs w:val="18"/>
              </w:rPr>
              <w:t>Parameter</w:t>
            </w:r>
          </w:p>
        </w:tc>
        <w:tc>
          <w:tcPr>
            <w:tcW w:w="6700" w:type="dxa"/>
            <w:tcBorders>
              <w:top w:val="single" w:color="D9D2F2" w:sz="4" w:space="0"/>
              <w:left w:val="single" w:color="D9D2F2" w:sz="4" w:space="0"/>
              <w:bottom w:val="single" w:color="D9D2F2" w:sz="4" w:space="0"/>
              <w:right w:val="single" w:color="D9D2F2" w:sz="4" w:space="0"/>
            </w:tcBorders>
            <w:shd w:val="clear" w:color="auto" w:fill="1C1830"/>
            <w:tcMar>
              <w:top w:w="80" w:type="dxa"/>
              <w:left w:w="110" w:type="dxa"/>
              <w:bottom w:w="80" w:type="dxa"/>
              <w:right w:w="110" w:type="dxa"/>
            </w:tcMar>
          </w:tcPr>
          <w:p w14:paraId="7907AA58">
            <w:pPr>
              <w:spacing w:after="0" w:line="270" w:lineRule="auto"/>
            </w:pPr>
            <w:r>
              <w:rPr>
                <w:b/>
                <w:bCs/>
                <w:color w:val="FFFFFF"/>
                <w:sz w:val="18"/>
                <w:szCs w:val="18"/>
              </w:rPr>
              <w:t>Value</w:t>
            </w:r>
          </w:p>
        </w:tc>
      </w:tr>
      <w:tr w14:paraId="7B14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7598F9C">
            <w:pPr>
              <w:spacing w:after="0" w:line="270" w:lineRule="auto"/>
            </w:pPr>
            <w:r>
              <w:rPr>
                <w:sz w:val="18"/>
                <w:szCs w:val="18"/>
              </w:rPr>
              <w:t>Chain</w:t>
            </w:r>
          </w:p>
        </w:tc>
        <w:tc>
          <w:tcPr>
            <w:tcW w:w="670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26B3D86">
            <w:pPr>
              <w:spacing w:after="0" w:line="270" w:lineRule="auto"/>
            </w:pPr>
            <w:r>
              <w:rPr>
                <w:sz w:val="18"/>
                <w:szCs w:val="18"/>
              </w:rPr>
              <w:t>Ethereum mainnet (chain id 1)</w:t>
            </w:r>
          </w:p>
        </w:tc>
      </w:tr>
      <w:tr w14:paraId="6EFC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345F8CC6">
            <w:pPr>
              <w:spacing w:after="0" w:line="270" w:lineRule="auto"/>
            </w:pPr>
            <w:r>
              <w:rPr>
                <w:sz w:val="18"/>
                <w:szCs w:val="18"/>
              </w:rPr>
              <w:t>Launch route</w:t>
            </w:r>
          </w:p>
        </w:tc>
        <w:tc>
          <w:tcPr>
            <w:tcW w:w="670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6DDAF81">
            <w:pPr>
              <w:spacing w:after="0" w:line="270" w:lineRule="auto"/>
            </w:pPr>
            <w:r>
              <w:rPr>
                <w:sz w:val="18"/>
                <w:szCs w:val="18"/>
              </w:rPr>
              <w:t>Programmable Custom Launch API, profile 3.6.0, launch-protection v1, CLI 4.1.7</w:t>
            </w:r>
          </w:p>
        </w:tc>
      </w:tr>
      <w:tr w14:paraId="0D31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FEA923D">
            <w:pPr>
              <w:spacing w:after="0" w:line="270" w:lineRule="auto"/>
            </w:pPr>
            <w:r>
              <w:rPr>
                <w:sz w:val="18"/>
                <w:szCs w:val="18"/>
              </w:rPr>
              <w:t>Pool</w:t>
            </w:r>
          </w:p>
        </w:tc>
        <w:tc>
          <w:tcPr>
            <w:tcW w:w="670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8B094C8">
            <w:pPr>
              <w:spacing w:after="0" w:line="270" w:lineRule="auto"/>
            </w:pPr>
            <w:r>
              <w:rPr>
                <w:sz w:val="18"/>
                <w:szCs w:val="18"/>
              </w:rPr>
              <w:t>Uniswap v4, native ETH / $ATMX, LP fee 0, tick spacing 60</w:t>
            </w:r>
          </w:p>
        </w:tc>
      </w:tr>
      <w:tr w14:paraId="6BFE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788C29B8">
            <w:pPr>
              <w:spacing w:after="0" w:line="270" w:lineRule="auto"/>
            </w:pPr>
            <w:r>
              <w:rPr>
                <w:sz w:val="18"/>
                <w:szCs w:val="18"/>
              </w:rPr>
              <w:t>Supply</w:t>
            </w:r>
          </w:p>
        </w:tc>
        <w:tc>
          <w:tcPr>
            <w:tcW w:w="670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AC21762">
            <w:pPr>
              <w:spacing w:after="0" w:line="270" w:lineRule="auto"/>
            </w:pPr>
            <w:r>
              <w:rPr>
                <w:sz w:val="18"/>
                <w:szCs w:val="18"/>
              </w:rPr>
              <w:t>1,000,000,000 $ATMX, 18 decimals, fixed</w:t>
            </w:r>
          </w:p>
        </w:tc>
      </w:tr>
      <w:tr w14:paraId="1504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A87DFBC">
            <w:pPr>
              <w:spacing w:after="0" w:line="270" w:lineRule="auto"/>
            </w:pPr>
            <w:r>
              <w:rPr>
                <w:sz w:val="18"/>
                <w:szCs w:val="18"/>
              </w:rPr>
              <w:t>Creator fee</w:t>
            </w:r>
          </w:p>
        </w:tc>
        <w:tc>
          <w:tcPr>
            <w:tcW w:w="670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4381301">
            <w:pPr>
              <w:spacing w:after="0" w:line="270" w:lineRule="auto"/>
            </w:pPr>
            <w:r>
              <w:rPr>
                <w:sz w:val="18"/>
                <w:szCs w:val="18"/>
              </w:rPr>
              <w:t>250 bps buy / 250 bps sell, fixed in the hook, recipient: Reclaim Vault</w:t>
            </w:r>
          </w:p>
        </w:tc>
      </w:tr>
      <w:tr w14:paraId="63D2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1BFC0452">
            <w:pPr>
              <w:spacing w:after="0" w:line="270" w:lineRule="auto"/>
            </w:pPr>
            <w:r>
              <w:rPr>
                <w:sz w:val="18"/>
                <w:szCs w:val="18"/>
              </w:rPr>
              <w:t>Platform fee</w:t>
            </w:r>
          </w:p>
        </w:tc>
        <w:tc>
          <w:tcPr>
            <w:tcW w:w="670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47538346">
            <w:pPr>
              <w:spacing w:after="0" w:line="270" w:lineRule="auto"/>
            </w:pPr>
            <w:r>
              <w:rPr>
                <w:sz w:val="18"/>
                <w:szCs w:val="18"/>
              </w:rPr>
              <w:t>30 bps, Programmable treasury 0xD88539d3c4C460136a733A3Fd60cf6BF269079da</w:t>
            </w:r>
          </w:p>
        </w:tc>
      </w:tr>
      <w:tr w14:paraId="571E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50DE590">
            <w:pPr>
              <w:spacing w:after="0" w:line="270" w:lineRule="auto"/>
            </w:pPr>
            <w:r>
              <w:rPr>
                <w:sz w:val="18"/>
                <w:szCs w:val="18"/>
              </w:rPr>
              <w:t>Opening protection</w:t>
            </w:r>
          </w:p>
        </w:tc>
        <w:tc>
          <w:tcPr>
            <w:tcW w:w="670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1A6A95E6">
            <w:pPr>
              <w:spacing w:after="0" w:line="270" w:lineRule="auto"/>
            </w:pPr>
            <w:r>
              <w:rPr>
                <w:sz w:val="18"/>
                <w:szCs w:val="18"/>
              </w:rPr>
              <w:t>99% → normal over 30 s; 2% buyer and receiver caps for 300 s; ≥ USD 15,000 opening valuation</w:t>
            </w:r>
          </w:p>
        </w:tc>
      </w:tr>
      <w:tr w14:paraId="37FB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628821BC">
            <w:pPr>
              <w:spacing w:after="0" w:line="270" w:lineRule="auto"/>
            </w:pPr>
            <w:r>
              <w:rPr>
                <w:sz w:val="18"/>
                <w:szCs w:val="18"/>
              </w:rPr>
              <w:t>Opening buy</w:t>
            </w:r>
          </w:p>
        </w:tc>
        <w:tc>
          <w:tcPr>
            <w:tcW w:w="670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47C153C5">
            <w:pPr>
              <w:spacing w:after="0" w:line="270" w:lineRule="auto"/>
            </w:pPr>
            <w:r>
              <w:rPr>
                <w:sz w:val="18"/>
                <w:szCs w:val="18"/>
              </w:rPr>
              <w:t>About 0.05 ETH by the launch wallet inside the launch transaction (at most 2% of supply)</w:t>
            </w:r>
          </w:p>
        </w:tc>
      </w:tr>
      <w:tr w14:paraId="65A1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3EAA2FE4">
            <w:pPr>
              <w:spacing w:after="0" w:line="270" w:lineRule="auto"/>
            </w:pPr>
            <w:r>
              <w:rPr>
                <w:sz w:val="18"/>
                <w:szCs w:val="18"/>
              </w:rPr>
              <w:t>Vault split</w:t>
            </w:r>
          </w:p>
        </w:tc>
        <w:tc>
          <w:tcPr>
            <w:tcW w:w="670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0CA55313">
            <w:pPr>
              <w:spacing w:after="0" w:line="270" w:lineRule="auto"/>
            </w:pPr>
            <w:r>
              <w:rPr>
                <w:sz w:val="18"/>
                <w:szCs w:val="18"/>
              </w:rPr>
              <w:t>80% project treasury · 20% Recycling Rewards pool</w:t>
            </w:r>
          </w:p>
        </w:tc>
      </w:tr>
      <w:tr w14:paraId="7869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3288E595">
            <w:pPr>
              <w:spacing w:after="0" w:line="270" w:lineRule="auto"/>
            </w:pPr>
            <w:r>
              <w:rPr>
                <w:sz w:val="18"/>
                <w:szCs w:val="18"/>
              </w:rPr>
              <w:t>Recycling rewards</w:t>
            </w:r>
          </w:p>
        </w:tc>
        <w:tc>
          <w:tcPr>
            <w:tcW w:w="670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3D57168E">
            <w:pPr>
              <w:spacing w:after="0" w:line="270" w:lineRule="auto"/>
            </w:pPr>
            <w:r>
              <w:rPr>
                <w:sz w:val="18"/>
                <w:szCs w:val="18"/>
              </w:rPr>
              <w:t>24-hour review; cap 0.0002 ETH per kg at launch, hard ceiling 0.001 ETH per kg; voided batches never paid</w:t>
            </w:r>
          </w:p>
        </w:tc>
      </w:tr>
      <w:tr w14:paraId="5B37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77F75E0D">
            <w:pPr>
              <w:spacing w:after="0" w:line="270" w:lineRule="auto"/>
            </w:pPr>
            <w:r>
              <w:rPr>
                <w:sz w:val="18"/>
                <w:szCs w:val="18"/>
              </w:rPr>
              <w:t>Timelock</w:t>
            </w:r>
          </w:p>
        </w:tc>
        <w:tc>
          <w:tcPr>
            <w:tcW w:w="6700" w:type="dxa"/>
            <w:tcBorders>
              <w:top w:val="single" w:color="D9D2F2" w:sz="4" w:space="0"/>
              <w:left w:val="single" w:color="D9D2F2" w:sz="4" w:space="0"/>
              <w:bottom w:val="single" w:color="D9D2F2" w:sz="4" w:space="0"/>
              <w:right w:val="single" w:color="D9D2F2" w:sz="4" w:space="0"/>
            </w:tcBorders>
            <w:tcMar>
              <w:top w:w="80" w:type="dxa"/>
              <w:left w:w="110" w:type="dxa"/>
              <w:bottom w:w="80" w:type="dxa"/>
              <w:right w:w="110" w:type="dxa"/>
            </w:tcMar>
          </w:tcPr>
          <w:p w14:paraId="46CD2CBB">
            <w:pPr>
              <w:spacing w:after="0" w:line="270" w:lineRule="auto"/>
            </w:pPr>
            <w:r>
              <w:rPr>
                <w:sz w:val="18"/>
                <w:szCs w:val="18"/>
              </w:rPr>
              <w:t>48 hours on treasury, attester, reward-cap and guardian changes; no immediate exception</w:t>
            </w:r>
          </w:p>
        </w:tc>
      </w:tr>
      <w:tr w14:paraId="2FF8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01CCB94E">
            <w:pPr>
              <w:spacing w:after="0" w:line="270" w:lineRule="auto"/>
            </w:pPr>
            <w:r>
              <w:rPr>
                <w:sz w:val="18"/>
                <w:szCs w:val="18"/>
              </w:rPr>
              <w:t>Role holders</w:t>
            </w:r>
          </w:p>
        </w:tc>
        <w:tc>
          <w:tcPr>
            <w:tcW w:w="6700" w:type="dxa"/>
            <w:tcBorders>
              <w:top w:val="single" w:color="D9D2F2" w:sz="4" w:space="0"/>
              <w:left w:val="single" w:color="D9D2F2" w:sz="4" w:space="0"/>
              <w:bottom w:val="single" w:color="D9D2F2" w:sz="4" w:space="0"/>
              <w:right w:val="single" w:color="D9D2F2" w:sz="4" w:space="0"/>
            </w:tcBorders>
            <w:shd w:val="clear" w:color="auto" w:fill="F4F0FF"/>
            <w:tcMar>
              <w:top w:w="80" w:type="dxa"/>
              <w:left w:w="110" w:type="dxa"/>
              <w:bottom w:w="80" w:type="dxa"/>
              <w:right w:w="110" w:type="dxa"/>
            </w:tcMar>
          </w:tcPr>
          <w:p w14:paraId="3D0AEB56">
            <w:pPr>
              <w:spacing w:after="0" w:line="270" w:lineRule="auto"/>
            </w:pPr>
            <w:r>
              <w:rPr>
                <w:sz w:val="18"/>
                <w:szCs w:val="18"/>
              </w:rPr>
              <w:t>Launch wallet, guardian, attester and project treasury wallet: stated in the launch request</w:t>
            </w:r>
          </w:p>
        </w:tc>
      </w:tr>
    </w:tbl>
    <w:p w14:paraId="23B4370F"/>
    <w:sectPr>
      <w:footerReference r:id="rId3" w:type="default"/>
      <w:pgSz w:w="11906" w:h="16838"/>
      <w:pgMar w:top="1300" w:right="1300" w:bottom="1300" w:left="13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C7A5">
    <w:pPr>
      <w:jc w:val="right"/>
    </w:pPr>
    <w:r>
      <w:rPr>
        <w:color w:val="5E6270"/>
        <w:sz w:val="16"/>
        <w:szCs w:val="16"/>
      </w:rPr>
      <w:t xml:space="preserve">ATOMYX Whitepaper v2.0 · </w:t>
    </w:r>
    <w:r>
      <w:rPr>
        <w:color w:val="5E6270"/>
        <w:sz w:val="16"/>
        <w:szCs w:val="16"/>
      </w:rPr>
      <w:fldChar w:fldCharType="begin"/>
    </w:r>
    <w:r>
      <w:rPr>
        <w:color w:val="5E6270"/>
        <w:sz w:val="16"/>
        <w:szCs w:val="16"/>
      </w:rPr>
      <w:instrText xml:space="preserve">PAGE</w:instrText>
    </w:r>
    <w:r>
      <w:rPr>
        <w:color w:val="5E6270"/>
        <w:sz w:val="16"/>
        <w:szCs w:val="16"/>
      </w:rPr>
      <w:fldChar w:fldCharType="separate"/>
    </w:r>
    <w:r>
      <w:rPr>
        <w:color w:val="5E6270"/>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125557"/>
    <w:multiLevelType w:val="singleLevel"/>
    <w:tmpl w:val="D4125557"/>
    <w:lvl w:ilvl="0" w:tentative="0">
      <w:start w:val="1"/>
      <w:numFmt w:val="bullet"/>
      <w:lvlText w:val="•"/>
      <w:lvlJc w:val="left"/>
      <w:pPr>
        <w:ind w:left="540" w:hanging="280"/>
      </w:pPr>
    </w:lvl>
  </w:abstractNum>
  <w:abstractNum w:abstractNumId="1">
    <w:nsid w:val="F600F030"/>
    <w:multiLevelType w:val="singleLevel"/>
    <w:tmpl w:val="F600F030"/>
    <w:lvl w:ilvl="0" w:tentative="0">
      <w:start w:val="1"/>
      <w:numFmt w:val="decimal"/>
      <w:lvlText w:val="%1."/>
      <w:lvlJc w:val="left"/>
      <w:pPr>
        <w:ind w:left="540" w:hanging="32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compatSetting w:name="compatibilityMode" w:uri="http://schemas.microsoft.com/office/word" w:val="15"/>
  </w:compat>
  <w:rsids>
    <w:rsidRoot w:val="00000000"/>
    <w:rsid w:val="013471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color w:val="16161D"/>
      <w:sz w:val="20"/>
      <w:szCs w:val="20"/>
    </w:rPr>
  </w:style>
  <w:style w:type="paragraph" w:styleId="2">
    <w:name w:val="heading 1"/>
    <w:basedOn w:val="1"/>
    <w:next w:val="1"/>
    <w:qFormat/>
    <w:uiPriority w:val="0"/>
    <w:pPr>
      <w:keepNext/>
      <w:keepLines/>
      <w:spacing w:before="360" w:after="160"/>
      <w:outlineLvl w:val="0"/>
    </w:pPr>
    <w:rPr>
      <w:rFonts w:ascii="Arial" w:hAnsi="Arial" w:eastAsia="Arial" w:cs="Arial"/>
      <w:b/>
      <w:bCs/>
      <w:color w:val="16161D"/>
      <w:sz w:val="32"/>
      <w:szCs w:val="32"/>
    </w:rPr>
  </w:style>
  <w:style w:type="paragraph" w:styleId="3">
    <w:name w:val="heading 2"/>
    <w:basedOn w:val="1"/>
    <w:next w:val="1"/>
    <w:qFormat/>
    <w:uiPriority w:val="0"/>
    <w:pPr>
      <w:keepNext/>
      <w:keepLines/>
      <w:spacing w:before="240" w:after="120"/>
      <w:outlineLvl w:val="1"/>
    </w:pPr>
    <w:rPr>
      <w:rFonts w:ascii="Arial" w:hAnsi="Arial" w:eastAsia="Arial" w:cs="Arial"/>
      <w:b/>
      <w:bCs/>
      <w:color w:val="6D28D9"/>
      <w:sz w:val="24"/>
      <w:szCs w:val="24"/>
    </w:rPr>
  </w:style>
  <w:style w:type="paragraph" w:styleId="4">
    <w:name w:val="heading 3"/>
    <w:basedOn w:val="1"/>
    <w:next w:val="1"/>
    <w:qFormat/>
    <w:uiPriority w:val="0"/>
    <w:rPr>
      <w:color w:val="1F4D78"/>
      <w:sz w:val="24"/>
      <w:szCs w:val="24"/>
    </w:rPr>
  </w:style>
  <w:style w:type="paragraph" w:styleId="5">
    <w:name w:val="heading 4"/>
    <w:basedOn w:val="1"/>
    <w:next w:val="1"/>
    <w:qFormat/>
    <w:uiPriority w:val="0"/>
    <w:rPr>
      <w:i/>
      <w:iCs/>
      <w:color w:val="2E74B5"/>
    </w:rPr>
  </w:style>
  <w:style w:type="paragraph" w:styleId="6">
    <w:name w:val="heading 5"/>
    <w:basedOn w:val="1"/>
    <w:next w:val="1"/>
    <w:qFormat/>
    <w:uiPriority w:val="0"/>
    <w:rPr>
      <w:color w:val="2E74B5"/>
    </w:rPr>
  </w:style>
  <w:style w:type="paragraph" w:styleId="7">
    <w:name w:val="heading 6"/>
    <w:basedOn w:val="1"/>
    <w:next w:val="1"/>
    <w:qFormat/>
    <w:uiPriority w:val="0"/>
    <w:rPr>
      <w:color w:val="1F4D78"/>
    </w:rPr>
  </w:style>
  <w:style w:type="character" w:default="1" w:styleId="8">
    <w:name w:val="Default Paragraph Font"/>
    <w:semiHidden/>
    <w:qFormat/>
    <w:uiPriority w:val="0"/>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basedOn w:val="1"/>
    <w:link w:val="20"/>
    <w:semiHidden/>
    <w:unhideWhenUsed/>
    <w:qFormat/>
    <w:uiPriority w:val="99"/>
    <w:pPr>
      <w:spacing w:after="0" w:line="240" w:lineRule="auto"/>
    </w:pPr>
    <w:rPr>
      <w:sz w:val="20"/>
      <w:szCs w:val="20"/>
    </w:rPr>
  </w:style>
  <w:style w:type="character" w:styleId="12">
    <w:name w:val="footnote reference"/>
    <w:semiHidden/>
    <w:unhideWhenUsed/>
    <w:uiPriority w:val="99"/>
    <w:rPr>
      <w:vertAlign w:val="superscript"/>
    </w:rPr>
  </w:style>
  <w:style w:type="paragraph" w:styleId="13">
    <w:name w:val="footnote text"/>
    <w:basedOn w:val="1"/>
    <w:link w:val="19"/>
    <w:semiHidden/>
    <w:unhideWhenUsed/>
    <w:uiPriority w:val="99"/>
    <w:pPr>
      <w:spacing w:after="0" w:line="240" w:lineRule="auto"/>
    </w:pPr>
    <w:rPr>
      <w:sz w:val="20"/>
      <w:szCs w:val="20"/>
    </w:rPr>
  </w:style>
  <w:style w:type="character" w:styleId="14">
    <w:name w:val="Hyperlink"/>
    <w:unhideWhenUsed/>
    <w:uiPriority w:val="99"/>
    <w:rPr>
      <w:color w:val="0563C1"/>
      <w:u w:val="single"/>
    </w:rPr>
  </w:style>
  <w:style w:type="paragraph" w:styleId="15">
    <w:name w:val="Title"/>
    <w:basedOn w:val="1"/>
    <w:next w:val="1"/>
    <w:qFormat/>
    <w:uiPriority w:val="0"/>
    <w:rPr>
      <w:sz w:val="56"/>
      <w:szCs w:val="56"/>
    </w:rPr>
  </w:style>
  <w:style w:type="paragraph" w:styleId="16">
    <w:name w:val="toc 1"/>
    <w:basedOn w:val="1"/>
    <w:next w:val="1"/>
    <w:uiPriority w:val="0"/>
  </w:style>
  <w:style w:type="paragraph" w:styleId="17">
    <w:name w:val="toc 2"/>
    <w:basedOn w:val="1"/>
    <w:next w:val="1"/>
    <w:uiPriority w:val="0"/>
    <w:pPr>
      <w:ind w:left="420" w:leftChars="200"/>
    </w:pPr>
  </w:style>
  <w:style w:type="paragraph" w:styleId="18">
    <w:name w:val="List Paragraph"/>
    <w:basedOn w:val="1"/>
    <w:qFormat/>
    <w:uiPriority w:val="0"/>
  </w:style>
  <w:style w:type="character" w:customStyle="1" w:styleId="19">
    <w:name w:val="Footnote Text Char"/>
    <w:link w:val="13"/>
    <w:semiHidden/>
    <w:unhideWhenUsed/>
    <w:uiPriority w:val="99"/>
    <w:rPr>
      <w:sz w:val="20"/>
      <w:szCs w:val="20"/>
    </w:rPr>
  </w:style>
  <w:style w:type="character" w:customStyle="1" w:styleId="20">
    <w:name w:val="Endnote Text Char"/>
    <w:link w:val="11"/>
    <w:semiHidden/>
    <w:unhideWhenUsed/>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TotalTime>0</TotalTime>
  <ScaleCrop>false</ScaleCrop>
  <LinksUpToDate>false</LinksUpToDate>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2026-10-23T02:20:00Z</dcterms:created>
  <dc:creator>ATOMYX</dc:creator>
  <dc:description>Proof-of-Recycling network, launched on Programmable</dc:description>
  <cp:lastModifiedBy>Asus</cp:lastModifiedBy>
  <dcterms:modified xsi:type="dcterms:W3CDTF">2026-10-23T02:20:23Z</dcterms:modified>
  <dc:title>ATOMYX Whitepaper v2.0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F82B1A880501412D93EDAD2D88B6185F_12</vt:lpwstr>
  </property>
</Properties>
</file>